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монтаже защитно-улавливающей системы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монтаже защитно-улавливающей системы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монтаже защитно-улавливающей системы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монтаже защитно-улавливающей системы;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монтаже защитно-улавливающей системы;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монтаже защитно-улавливающей системы.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монтаже защитно-улавливающей системы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1) используемые им движущиеся машины и механизмы, подвижные части технологического оборудования, передвигающиеся заготовки и строительные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 опрокидывание машин;</w:t>
      </w:r>
    </w:p>
    <w:p>
      <w:pPr>
        <w:spacing w:line="240" w:lineRule="auto"/>
        <w:rPr>
          <w:rFonts w:hAnsi="Times New Roman" w:cs="Times New Roman"/>
          <w:color w:val="000000"/>
          <w:sz w:val="24"/>
          <w:szCs w:val="24"/>
        </w:rPr>
      </w:pPr>
      <w:r>
        <w:rPr>
          <w:rFonts w:hAnsi="Times New Roman" w:cs="Times New Roman"/>
          <w:color w:val="000000"/>
          <w:sz w:val="24"/>
          <w:szCs w:val="24"/>
        </w:rPr>
        <w:t>3) неустойчивое состояние сооружения, объекта, опалубки и поддерживающих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4) высокие ветровые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5) 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pPr>
        <w:spacing w:line="240" w:lineRule="auto"/>
        <w:rPr>
          <w:rFonts w:hAnsi="Times New Roman" w:cs="Times New Roman"/>
          <w:color w:val="000000"/>
          <w:sz w:val="24"/>
          <w:szCs w:val="24"/>
        </w:rPr>
      </w:pPr>
      <w:r>
        <w:rPr>
          <w:rFonts w:hAnsi="Times New Roman" w:cs="Times New Roman"/>
          <w:color w:val="000000"/>
          <w:sz w:val="24"/>
          <w:szCs w:val="24"/>
        </w:rPr>
        <w:t>6) наличие острой кромки, углов, торчащих штырей;</w:t>
      </w:r>
    </w:p>
    <w:p>
      <w:pPr>
        <w:spacing w:line="240" w:lineRule="auto"/>
        <w:rPr>
          <w:rFonts w:hAnsi="Times New Roman" w:cs="Times New Roman"/>
          <w:color w:val="000000"/>
          <w:sz w:val="24"/>
          <w:szCs w:val="24"/>
        </w:rPr>
      </w:pPr>
      <w:r>
        <w:rPr>
          <w:rFonts w:hAnsi="Times New Roman" w:cs="Times New Roman"/>
          <w:color w:val="000000"/>
          <w:sz w:val="24"/>
          <w:szCs w:val="24"/>
        </w:rPr>
        <w:t>7)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8) опасность, связанная с выбросом пыли 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9) опасность, связанная с воздействием шума, в том числе опасность, связанная с возможностью не услышать звуковой сигнал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10) опасность недостаточной освещенности или повышенной яркости света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11) опасность воздействия пониженных или повышенных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12) опасность поражения током;</w:t>
      </w:r>
    </w:p>
    <w:p>
      <w:pPr>
        <w:spacing w:line="240" w:lineRule="auto"/>
        <w:rPr>
          <w:rFonts w:hAnsi="Times New Roman" w:cs="Times New Roman"/>
          <w:color w:val="000000"/>
          <w:sz w:val="24"/>
          <w:szCs w:val="24"/>
        </w:rPr>
      </w:pPr>
      <w:r>
        <w:rPr>
          <w:rFonts w:hAnsi="Times New Roman" w:cs="Times New Roman"/>
          <w:color w:val="000000"/>
          <w:sz w:val="24"/>
          <w:szCs w:val="24"/>
        </w:rPr>
        <w:t>13) иные опасности, представляющие угрозу жизни и здоровью работников, включенные работодателем в перечень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4.1.7.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4.1.8.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расходных материалов (крепежа и пр.);</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инструмента, приспособлений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грузоподъемных механизмов, средств механизации, электрифицированного 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такелажных средств, тросов, канатов, цепей,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средств для работы на высоте (подмостей, лесов, лестниц и пр.);</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При проведении работ на высоте необходимо обеспечить наличие защитных, страховочных и сигнальных ограждений и определить границы опасных зон, исходя из действующих норм и правил с учетом наибольшего габарита перемещаемого груза, расстояния разлета предметов или раскаленных частиц металла (например, при сварочных работах), размеров движущихся частей машин и оборудования.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 нормами 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Для предотвращения падения работающих с высоты в процессе установки и перестановки защитно-улавливающих сеток применяются стальные страховочные канаты, которые закрепляют горизонтально или под углом 7о к горизонту к надежным конструкциям здания, указанным производителем работ. К этим канатам рабочие закрепляются страховочной привязью. Длина каната между точками его закрепления не должна превышать 12 м, диаметр каната зависит от высоты его закрепления. Схема установки страховочного каната на перекрытиях предоставлена в приложении.</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монтажа защитно-улавливающих сеток выполняется операционный контроль качества, а по окончании работ осуществляется завершающая оценка соответствия с проведением записи в журнале.</w:t>
      </w:r>
    </w:p>
    <w:p>
      <w:pPr>
        <w:spacing w:line="240" w:lineRule="auto"/>
        <w:rPr>
          <w:rFonts w:hAnsi="Times New Roman" w:cs="Times New Roman"/>
          <w:color w:val="000000"/>
          <w:sz w:val="24"/>
          <w:szCs w:val="24"/>
        </w:rPr>
      </w:pPr>
      <w:r>
        <w:rPr>
          <w:rFonts w:hAnsi="Times New Roman" w:cs="Times New Roman"/>
          <w:color w:val="000000"/>
          <w:sz w:val="24"/>
          <w:szCs w:val="24"/>
        </w:rPr>
        <w:t>Демонтаж защитно-улавливающих сеток производится в обратном порядке, а именно: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подтянуть кронштейны в исходное положение с их фиксацией на вышерасположенном этаже;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отцепить карабины и фалы от кронштейнов и снять сетку;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кронштейны от закрепления в опоре;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подать кронштейны и крепеж на вышерасположенный этаж для последующей их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на строительных объектах ограждений должно осуществляться в соответствии с действующими инструктивно-методическими документами, регламентирующими требования охраны труда, безопасности работ и производственной санитарии в строительной отрасли.</w:t>
      </w:r>
    </w:p>
    <w:p>
      <w:pPr>
        <w:spacing w:line="240" w:lineRule="auto"/>
        <w:rPr>
          <w:rFonts w:hAnsi="Times New Roman" w:cs="Times New Roman"/>
          <w:color w:val="000000"/>
          <w:sz w:val="24"/>
          <w:szCs w:val="24"/>
        </w:rPr>
      </w:pPr>
      <w:r>
        <w:rPr>
          <w:rFonts w:hAnsi="Times New Roman" w:cs="Times New Roman"/>
          <w:color w:val="000000"/>
          <w:sz w:val="24"/>
          <w:szCs w:val="24"/>
        </w:rPr>
        <w:t>Работы по установке защитно-улавливающих сеток необходимо выполнять под руководством назначенного приказом ответственного лица из числа ИТР участка. На него возлагается ответственность за выполнение мероприятий по безопасности работ.</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 на смежных перекрытиях необходимо по их периметру и по краям лестничных клеток и лифтовых шахт установить защитные ограждения, а технологические отверстия в перекрытиях закрыть щитами с устройствами против их смещения с установкой знаков безопасности. Высота защитных ограждений (расстояние от уровня рабочего места до самой низкой точки верхнего горизонтального элемента ограждения) должна быть не менее 1,1 м. Расстояние между узлами крепления ограждения к устойчивым конструкциям здания не должна превышать 6 м. Расстояние от границы перепада по высоте до ограждения должно быть в пределах 0,2-0,25 м. Защитные ограждения (у проемов лестничных клеток и лифтовых шахт) устанавливают без ограничений расстояния от границы перепада высот. Высота бортового элемента ограждения должна быть не менее 0,15 м.</w:t>
      </w:r>
    </w:p>
    <w:p>
      <w:pPr>
        <w:spacing w:line="240" w:lineRule="auto"/>
        <w:rPr>
          <w:rFonts w:hAnsi="Times New Roman" w:cs="Times New Roman"/>
          <w:color w:val="000000"/>
          <w:sz w:val="24"/>
          <w:szCs w:val="24"/>
        </w:rPr>
      </w:pPr>
      <w:r>
        <w:rPr>
          <w:rFonts w:hAnsi="Times New Roman" w:cs="Times New Roman"/>
          <w:color w:val="000000"/>
          <w:sz w:val="24"/>
          <w:szCs w:val="24"/>
        </w:rPr>
        <w:t>5.1.7.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6.2.4.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6.2.5.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6.2.6.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сложить в отведенное для хранения место технологическую оснастку.</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от сети электроинструмент, собрать инструмент, очистить от грязи.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Очистить от отходов монтируемых элементов рабочую зону и привести ее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b54b50e6f884d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