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подъеме (спуске) и установке судов (плавсредств) на берег (причал)</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подъем (спуск) и установкц судов (плавсредств) на берег (причал).</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при погрузочно-разгрузочных работах и размещении грузов, утвержденных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Минтруда от 11.12.2020 № 886н</w:t>
      </w:r>
      <w:r>
        <w:rPr>
          <w:rFonts w:hAnsi="Times New Roman" w:cs="Times New Roman"/>
          <w:color w:val="000000"/>
          <w:sz w:val="24"/>
          <w:szCs w:val="24"/>
        </w:rPr>
        <w:t xml:space="preserve"> "Об утверждении Правил по охране труда на морских судах и судах внутреннего водного транспорта".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подъеме (спуске) и установке судов (плавсредств) на берег (причал)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промышленного транспорта, перемещаемых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предметов (перемещаемого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запыленности и загазованности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неблагоприятных климатических условий на открытых площадках (дождь, снег, туман, ветер);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расположения рабочих мест на высоте относительно поверхности рабочих площадок и водной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перегрузок;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свое рабочее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погрузочно-разгрузочная площадка, проходы и проезды освобождаются от посторонних предметов, ликвидируются ямы, рытвины, скользкие места посыпаются противоскользящими средствами (например, песком или мелким шлаком);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обеспечивается безопасное для выполнения работ освещение рабочих мест;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проводится осмотр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4.1.2. Приступать к работе разрешается после выполнения подготовительных мероприятий и устранения всех недостатков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4.1.3. До начала проведения погрузочно-разгрузочных работ силами экипажа судна из числа помощников капитана должен быть назначен руководитель грузовой операции. С членами экипажа судна, привлеченными к ПРР, должен быть проведен целевой инструктаж.</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Руководитель грузовой операции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грузоподъемного оборудованиями и оснастки, наличие леерных ограждений у открытых проемов, исправность стационарных и переносных трапов, освещение рабочих мест;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грузовой план, особенности перегрузки, места, порядок и габариты складирования грузов;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необходимое количество стропальщиков и назначить сигнальщиков;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лично проверить исправность инвентаря и приспособлений, обеспеченность работающих СИЗ в зависимости от характера груза и условий труда на рабочих местах;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выполнение крановщиками (лебедчиками), стропальщиками инструкций по эксплуатации механизмов и инструкции по охране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к работе на кранах, лебедках и других грузоподъемных устройствах лиц, необученных этим работам, а также посторонних лиц в зону проведения грузовых операций;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расстановку участвующих в работе людей в соответствии с их квалификацией и характером выполняемой работы;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инструктировать лиц, участвующих в работах, по вопросам технологии и безопасности их выполнения, а также по применению СИЗ.</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К работе на судовых грузоподъемных устройствах в качестве крановщика и лебедчика допускаются члены экипажа судна, прошедшие обучение на кранах (лебедках) данного судна и проверку знаний.</w:t>
      </w:r>
    </w:p>
    <w:p>
      <w:pPr>
        <w:spacing w:line="240" w:lineRule="auto"/>
        <w:rPr>
          <w:rFonts w:hAnsi="Times New Roman" w:cs="Times New Roman"/>
          <w:color w:val="000000"/>
          <w:sz w:val="24"/>
          <w:szCs w:val="24"/>
        </w:rPr>
      </w:pPr>
      <w:r>
        <w:rPr>
          <w:rFonts w:hAnsi="Times New Roman" w:cs="Times New Roman"/>
          <w:color w:val="000000"/>
          <w:sz w:val="24"/>
          <w:szCs w:val="24"/>
        </w:rPr>
        <w:t>4.4.2. Для работы в качестве сигнальщика и стропальщика при производстве ПРР допускаются лица, имеющие соответствующее квалификационное свидетельство.</w:t>
      </w:r>
    </w:p>
    <w:p>
      <w:pPr>
        <w:spacing w:line="240" w:lineRule="auto"/>
        <w:rPr>
          <w:rFonts w:hAnsi="Times New Roman" w:cs="Times New Roman"/>
          <w:color w:val="000000"/>
          <w:sz w:val="24"/>
          <w:szCs w:val="24"/>
        </w:rPr>
      </w:pPr>
      <w:r>
        <w:rPr>
          <w:rFonts w:hAnsi="Times New Roman" w:cs="Times New Roman"/>
          <w:color w:val="000000"/>
          <w:sz w:val="24"/>
          <w:szCs w:val="24"/>
        </w:rPr>
        <w:t>4.4.3. На палубах, над которыми в процессе грузовой операции перемещается груз, должны выставляться временные ограждения и знак безопасности с надписью "Воспрещается вход (проход)".</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Погрузка и разгрузка грузов массой от 50 до 500 кг должны производиться с применением грузоподъемного оборудования и устройств (тельферов, лебедок, талей, блоков). Ручные погрузка и разгрузка таких грузов допускаются под руководством лица, назначенного работодателем ответственным за безопасное производство работ, и при условии, что нагрузка на одного работника не будет превышать 50 кг.</w:t>
      </w:r>
    </w:p>
    <w:p>
      <w:pPr>
        <w:spacing w:line="240" w:lineRule="auto"/>
        <w:rPr>
          <w:rFonts w:hAnsi="Times New Roman" w:cs="Times New Roman"/>
          <w:color w:val="000000"/>
          <w:sz w:val="24"/>
          <w:szCs w:val="24"/>
        </w:rPr>
      </w:pPr>
      <w:r>
        <w:rPr>
          <w:rFonts w:hAnsi="Times New Roman" w:cs="Times New Roman"/>
          <w:color w:val="000000"/>
          <w:sz w:val="24"/>
          <w:szCs w:val="24"/>
        </w:rPr>
        <w:t>5.1.2. Погрузка и разгрузка грузов массой более 500 кг должны производиться с применением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5.1.3. При производстве погрузочно-разгрузочных работ несколькими работниками необходимо каждому из них следить за тем, чтобы не причинить друг другу травмы инструментами или грузами.</w:t>
      </w:r>
    </w:p>
    <w:p>
      <w:pPr>
        <w:spacing w:line="240" w:lineRule="auto"/>
        <w:rPr>
          <w:rFonts w:hAnsi="Times New Roman" w:cs="Times New Roman"/>
          <w:color w:val="000000"/>
          <w:sz w:val="24"/>
          <w:szCs w:val="24"/>
        </w:rPr>
      </w:pPr>
      <w:r>
        <w:rPr>
          <w:rFonts w:hAnsi="Times New Roman" w:cs="Times New Roman"/>
          <w:color w:val="000000"/>
          <w:sz w:val="24"/>
          <w:szCs w:val="24"/>
        </w:rPr>
        <w:t>5.1.4. Строповка судна производится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5.1.5. Схемы строповки, графическое изображение способов строповки и зацепки грузов выдаются работникам или вывешиваются в местах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5.1.6. Подъем и опускание судна, на которые не разработаны схемы строповки, производятся под руководством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подъеме (спуске) и установке судов (плавсредств) на берег (причал) необходимо руководствоваться следующим:</w:t>
      </w:r>
    </w:p>
    <w:p>
      <w:pPr>
        <w:spacing w:line="240" w:lineRule="auto"/>
        <w:rPr>
          <w:rFonts w:hAnsi="Times New Roman" w:cs="Times New Roman"/>
          <w:color w:val="000000"/>
          <w:sz w:val="24"/>
          <w:szCs w:val="24"/>
        </w:rPr>
      </w:pPr>
      <w:r>
        <w:rPr>
          <w:rFonts w:hAnsi="Times New Roman" w:cs="Times New Roman"/>
          <w:color w:val="000000"/>
          <w:sz w:val="24"/>
          <w:szCs w:val="24"/>
        </w:rPr>
        <w:t>масса и центр тяжести судна указываются в технической документации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5.1.8. После строповки судна для проверки ее надежности судно должно быть поднято на высоту 200–300 мм от уровня пола (площадки). Только убедившись в надежности строповки, работник, застропивший судно, дает команду на дальнейший подъем и перемещение.</w:t>
      </w:r>
    </w:p>
    <w:p>
      <w:pPr>
        <w:spacing w:line="240" w:lineRule="auto"/>
        <w:rPr>
          <w:rFonts w:hAnsi="Times New Roman" w:cs="Times New Roman"/>
          <w:color w:val="000000"/>
          <w:sz w:val="24"/>
          <w:szCs w:val="24"/>
        </w:rPr>
      </w:pPr>
      <w:r>
        <w:rPr>
          <w:rFonts w:hAnsi="Times New Roman" w:cs="Times New Roman"/>
          <w:color w:val="000000"/>
          <w:sz w:val="24"/>
          <w:szCs w:val="24"/>
        </w:rPr>
        <w:t>5.1.9. Перемещать судно над рабочими местами при нахождении людей в зоне перемещения груза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При подъеме (спуске) и установке судов (плавсредств) на берег (причал), имеющего острые и режущие кромки и углы, применяются подкладки и прокладки, предотвращающие повреждение грузозахватных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5.1.11. Подъем и опускание плавсредств в эллинг производится таким образом, чтобы обеспечивалась возможность удобной и безопасной строповки его при последующем подъеме.</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работах с грузоподъемными устройствами и грузозахватными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устройства и приспособления, применяемые для подъема и опускания грузов, должны своевременно подвергаться освидетельствованиям и испытаниям.</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использовать в работе грузозахватные приспособления, не имеющие бирок, с истекшим сроком испытания, имеющие остаточную деформацию, коррозию, колышки:</w:t>
      </w:r>
    </w:p>
    <w:p>
      <w:pPr>
        <w:spacing w:line="240" w:lineRule="auto"/>
        <w:rPr>
          <w:rFonts w:hAnsi="Times New Roman" w:cs="Times New Roman"/>
          <w:color w:val="000000"/>
          <w:sz w:val="24"/>
          <w:szCs w:val="24"/>
        </w:rPr>
      </w:pPr>
      <w:r>
        <w:rPr>
          <w:rFonts w:hAnsi="Times New Roman" w:cs="Times New Roman"/>
          <w:color w:val="000000"/>
          <w:sz w:val="24"/>
          <w:szCs w:val="24"/>
        </w:rPr>
        <w:t>на грузоподъемных машинах и механизмах должна быть нанесена маркировка с указанием допустимой грузоподъемности, даты испытания, регистрационного номера.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подготовке грузоподъемных устройств к работе перед началом грузовой операции грузоподъемное устройство должно быть осмотрено:</w:t>
      </w:r>
    </w:p>
    <w:p>
      <w:pPr>
        <w:spacing w:line="240" w:lineRule="auto"/>
        <w:rPr>
          <w:rFonts w:hAnsi="Times New Roman" w:cs="Times New Roman"/>
          <w:color w:val="000000"/>
          <w:sz w:val="24"/>
          <w:szCs w:val="24"/>
        </w:rPr>
      </w:pPr>
      <w:r>
        <w:rPr>
          <w:rFonts w:hAnsi="Times New Roman" w:cs="Times New Roman"/>
          <w:color w:val="000000"/>
          <w:sz w:val="24"/>
          <w:szCs w:val="24"/>
        </w:rPr>
        <w:t>механиком, в заведовании которого оно находится, на предмет исправного технического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руководителем работ внешним осмотром на предмет отсутствия видимых механических повреждений конструкций, стоячего и бегучего такелажа, съемных деталей с целью проведения проверки грузового устройства в действии (проверяются в работе все механизмы крана во всех направлениях до срабатывания конечных выключателей, проверяется работа тормозов);</w:t>
      </w:r>
    </w:p>
    <w:p>
      <w:pPr>
        <w:spacing w:line="240" w:lineRule="auto"/>
        <w:rPr>
          <w:rFonts w:hAnsi="Times New Roman" w:cs="Times New Roman"/>
          <w:color w:val="000000"/>
          <w:sz w:val="24"/>
          <w:szCs w:val="24"/>
        </w:rPr>
      </w:pPr>
      <w:r>
        <w:rPr>
          <w:rFonts w:hAnsi="Times New Roman" w:cs="Times New Roman"/>
          <w:color w:val="000000"/>
          <w:sz w:val="24"/>
          <w:szCs w:val="24"/>
        </w:rPr>
        <w:t>съемные стойки для крепления стрел по-походному должны быть сняты или завалены;</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руководителем работ проверяется отсутствие посторонних предметов на конструкциях крана, стрелы, на кабельных трассах, на пути движения грузоподъемного устройства, удаляется лед с конструкций крана;</w:t>
      </w:r>
    </w:p>
    <w:p>
      <w:pPr>
        <w:spacing w:line="240" w:lineRule="auto"/>
        <w:rPr>
          <w:rFonts w:hAnsi="Times New Roman" w:cs="Times New Roman"/>
          <w:color w:val="000000"/>
          <w:sz w:val="24"/>
          <w:szCs w:val="24"/>
        </w:rPr>
      </w:pPr>
      <w:r>
        <w:rPr>
          <w:rFonts w:hAnsi="Times New Roman" w:cs="Times New Roman"/>
          <w:color w:val="000000"/>
          <w:sz w:val="24"/>
          <w:szCs w:val="24"/>
        </w:rPr>
        <w:t>после ремонта или замены ответственных деталей, конструкций грузоподъемного механизма работа грузоподъемного устройства запрещается до проведения его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крепления стальных канатов стоячего такелажа следует осматривать не реже одного раза в три месяца, при выявлении слабины – подтягивать;</w:t>
      </w:r>
    </w:p>
    <w:p>
      <w:pPr>
        <w:spacing w:line="240" w:lineRule="auto"/>
        <w:rPr>
          <w:rFonts w:hAnsi="Times New Roman" w:cs="Times New Roman"/>
          <w:color w:val="000000"/>
          <w:sz w:val="24"/>
          <w:szCs w:val="24"/>
        </w:rPr>
      </w:pPr>
      <w:r>
        <w:rPr>
          <w:rFonts w:hAnsi="Times New Roman" w:cs="Times New Roman"/>
          <w:color w:val="000000"/>
          <w:sz w:val="24"/>
          <w:szCs w:val="24"/>
        </w:rPr>
        <w:t>растительные канаты допускается пропускать через блоки, диаметр шкивов которых – не менее шестикратного диаметра применяемого каната. Блоки подбираются с желобами шириной, равной диаметру каната;</w:t>
      </w:r>
    </w:p>
    <w:p>
      <w:pPr>
        <w:spacing w:line="240" w:lineRule="auto"/>
        <w:rPr>
          <w:rFonts w:hAnsi="Times New Roman" w:cs="Times New Roman"/>
          <w:color w:val="000000"/>
          <w:sz w:val="24"/>
          <w:szCs w:val="24"/>
        </w:rPr>
      </w:pPr>
      <w:r>
        <w:rPr>
          <w:rFonts w:hAnsi="Times New Roman" w:cs="Times New Roman"/>
          <w:color w:val="000000"/>
          <w:sz w:val="24"/>
          <w:szCs w:val="24"/>
        </w:rPr>
        <w:t>блоки, применяемые для грузовых работ, следует осматривать перед каждой погрузочно-разгрузочной операцией;</w:t>
      </w:r>
    </w:p>
    <w:p>
      <w:pPr>
        <w:spacing w:line="240" w:lineRule="auto"/>
        <w:rPr>
          <w:rFonts w:hAnsi="Times New Roman" w:cs="Times New Roman"/>
          <w:color w:val="000000"/>
          <w:sz w:val="24"/>
          <w:szCs w:val="24"/>
        </w:rPr>
      </w:pPr>
      <w:r>
        <w:rPr>
          <w:rFonts w:hAnsi="Times New Roman" w:cs="Times New Roman"/>
          <w:color w:val="000000"/>
          <w:sz w:val="24"/>
          <w:szCs w:val="24"/>
        </w:rPr>
        <w:t>съемные грузозахватные приспособления и тара перед началом грузовых работ должны быть осмотрены руководителем грузовых операций совместно со стропальщиками;</w:t>
      </w:r>
    </w:p>
    <w:p>
      <w:pPr>
        <w:spacing w:line="240" w:lineRule="auto"/>
        <w:rPr>
          <w:rFonts w:hAnsi="Times New Roman" w:cs="Times New Roman"/>
          <w:color w:val="000000"/>
          <w:sz w:val="24"/>
          <w:szCs w:val="24"/>
        </w:rPr>
      </w:pPr>
      <w:r>
        <w:rPr>
          <w:rFonts w:hAnsi="Times New Roman" w:cs="Times New Roman"/>
          <w:color w:val="000000"/>
          <w:sz w:val="24"/>
          <w:szCs w:val="24"/>
        </w:rPr>
        <w:t>разрешается использовать съемные грузозахватные приспособления, которые снабжены клеймом или прочно прикрепленной металлической биркой с указанием судового инвентарного номера, грузоподъемности, даты испытания, клейма технического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съемные грузозахватные приспособления, изготовленные из синтетических и полусинтетических материалов, должны выбраковываться и изыматься из эксплуатации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1. продольных, наклонных и поперечных разрезов, надрывов и проколов, разрушающих более 10 процентов нитей основы (с комбинированным переплетением крученых нитей);</w:t>
      </w:r>
    </w:p>
    <w:p>
      <w:pPr>
        <w:spacing w:line="240" w:lineRule="auto"/>
        <w:rPr>
          <w:rFonts w:hAnsi="Times New Roman" w:cs="Times New Roman"/>
          <w:color w:val="000000"/>
          <w:sz w:val="24"/>
          <w:szCs w:val="24"/>
        </w:rPr>
      </w:pPr>
      <w:r>
        <w:rPr>
          <w:rFonts w:hAnsi="Times New Roman" w:cs="Times New Roman"/>
          <w:color w:val="000000"/>
          <w:sz w:val="24"/>
          <w:szCs w:val="24"/>
        </w:rPr>
        <w:t>2. полного или частичного разрыва продольных или поперечных нитей с простым переплетением;</w:t>
      </w:r>
    </w:p>
    <w:p>
      <w:pPr>
        <w:spacing w:line="240" w:lineRule="auto"/>
        <w:rPr>
          <w:rFonts w:hAnsi="Times New Roman" w:cs="Times New Roman"/>
          <w:color w:val="000000"/>
          <w:sz w:val="24"/>
          <w:szCs w:val="24"/>
        </w:rPr>
      </w:pPr>
      <w:r>
        <w:rPr>
          <w:rFonts w:hAnsi="Times New Roman" w:cs="Times New Roman"/>
          <w:color w:val="000000"/>
          <w:sz w:val="24"/>
          <w:szCs w:val="24"/>
        </w:rPr>
        <w:t>3. значительного истирания, вызвавшего отрыв нитей;</w:t>
      </w:r>
    </w:p>
    <w:p>
      <w:pPr>
        <w:spacing w:line="240" w:lineRule="auto"/>
        <w:rPr>
          <w:rFonts w:hAnsi="Times New Roman" w:cs="Times New Roman"/>
          <w:color w:val="000000"/>
          <w:sz w:val="24"/>
          <w:szCs w:val="24"/>
        </w:rPr>
      </w:pPr>
      <w:r>
        <w:rPr>
          <w:rFonts w:hAnsi="Times New Roman" w:cs="Times New Roman"/>
          <w:color w:val="000000"/>
          <w:sz w:val="24"/>
          <w:szCs w:val="24"/>
        </w:rPr>
        <w:t>4. загрязнения волокон, нитей и прядей, вызвавшего их жесткость, ломкость;</w:t>
      </w:r>
    </w:p>
    <w:p>
      <w:pPr>
        <w:spacing w:line="240" w:lineRule="auto"/>
        <w:rPr>
          <w:rFonts w:hAnsi="Times New Roman" w:cs="Times New Roman"/>
          <w:color w:val="000000"/>
          <w:sz w:val="24"/>
          <w:szCs w:val="24"/>
        </w:rPr>
      </w:pPr>
      <w:r>
        <w:rPr>
          <w:rFonts w:hAnsi="Times New Roman" w:cs="Times New Roman"/>
          <w:color w:val="000000"/>
          <w:sz w:val="24"/>
          <w:szCs w:val="24"/>
        </w:rPr>
        <w:t>хранение съемных грузозахватных приспособлений, изготовленных из синтетических и полусинтетических материалов, должно осуществляться без доступа солнечных лучей в закрытом сухом помещении. Не допускается их хранение вблизи паровых котлов, тепловых трубопроводов и в других местах с высокой температурой и низкой влажностью.</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внезапное ухудшение погодных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травма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Немедленно прекратить работу при возникновении ситуаций, которые могут привести к аварии или несчастным случаям,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6.3.2. При пожаре или задымлении вызвать пожарную охрану и организовать тушение очага</w:t>
      </w:r>
    </w:p>
    <w:p>
      <w:pPr>
        <w:spacing w:line="240" w:lineRule="auto"/>
        <w:rPr>
          <w:rFonts w:hAnsi="Times New Roman" w:cs="Times New Roman"/>
          <w:color w:val="000000"/>
          <w:sz w:val="24"/>
          <w:szCs w:val="24"/>
        </w:rPr>
      </w:pPr>
      <w:r>
        <w:rPr>
          <w:rFonts w:hAnsi="Times New Roman" w:cs="Times New Roman"/>
          <w:color w:val="000000"/>
          <w:sz w:val="24"/>
          <w:szCs w:val="24"/>
        </w:rPr>
        <w:t>6.3.3. Сохранить место происшествия до начала расследования, за исключением случаев, при которых необходимо срочное устранение причин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электрифицированный инструмент и оборудование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все инструменты и приспособления на место хранения или на склад.</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91e1bace6b840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