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пользовании стояночными помещениями, предназначенными для хранения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пользовании стояночными помещениями, предназначенными для хранения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пользовании стояночными помещениями, предназначенными для хранения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пользовании стояночными помещениями, предназначенными для хранения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пользовании стояночными помещениями, предназначенными для хранения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пользовании стояночными помещениями, предназначенными для хранения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пользовании стояночными помещениями, предназначенными для хранения автомобилей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пользовании стояночными помещениями, предназначенными для хранения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пользованию стояночными помещениями, предназначенными для хранения автомобилей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автомобили,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(шлагбаума);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света, пониженная контрастность экрана монитора при неправильном выборе параметров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пульсация светового потока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 (при работе с мониторами слежения);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асфальтового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Транспортные средства разрешается хранить в соответствии с утвержденной работодателем схемой расстановки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Ширина проезда между транспортными средствами в помещениях для стоянки должна быть достаточной для свободного въезда транспортного средства на закрепленное место (за один маневр), а расстояние от границы проезда до транспортного средства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Автомобили-цистерны для перевозки легковоспламеняющихся и горючих жидкостей должны храниться на открытых площадках, под навесами или в изолированных одноэтажных помещениях наземных гаражей, имеющих непосредственный выезд наружу и оборудованных приточно-вытяжной вентиляцией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Ассенизационные транспортные средства, а также транспортные средства, перевозящие ядовитые и инфицирующие вещества, после работы необходимо мыть, очищать и хранить отдельно от других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постановке транспортного средства, работающего на газовом топливе, на ночную или длительную стоянку необходимо закрыть расходные вентили, выработать оставшийся в магистрали газ до полной остановки двигателя, затем выключить зажигание, установить переключатель массы в положение "отключено", после чего закрыть механический магистральный вентиль (при его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Транспортные средства, работающие на газовом топливе, разрешается ставить на стоянку в закрытое помещение при наличии в них герметичной газовой системы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закрытом помещении находилось транспортное средство с негерметичной газовой системой питания, то после выезда транспортного средства помещение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многоэтажных гаражах транспортные средства, работающие на КПГ, должны размещаться выше транспортных средств, работающих на жидком топливе, а транспортные средства, работающие на ГСН, - ниже транспортных средств, работающих на жидком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безгаражном хранении транспортных средств, работающих на КПГ или ГСН, подогрев газовых коммуникаций разрешается производить только с помощью горячей воды, пара или горячего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0515b58d7f4f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