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досмотра транспортных средств охранником на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досмотра транспортных средств охранником на предприятии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досмотра транспортных средств охранником на предприятии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досмотра транспортных средств охранником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досмотра транспортных средств охранником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досмотра транспортных средств охранником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досмотра транспортных средств охранником на предприятии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2.1.6.Правила по охране труда при осуществлении охраны (защиты) объектов и (или) имущества,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досмотра транспортных средств охранником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досмотра транспортных средств охранником на предприятии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Охранник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охранником.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охранник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охранник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охранника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охранником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Охранник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охранник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Осмотр транспортных средств и перевозимых на них грузов должен проводиться на досмотровых площадках или у проездных ворот с эстакад, лестниц-стремянок либо с приставных лестниц с крюками на концах.1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Досмотровые площадки в зимнее время должны очищаться от снега и льда и посыпаться песком либо иным противоскользящим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целях предотвращения падения транспортного средства в канаву или с эстакады во время его передвижения осмотровые канавы и эстакады должны быть оснащены предохранительными ребордами.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перехода осмотровые канавы оснащаются съемными переходными мостиками шириной, обеспечивающей безопасный переход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эстакад должны обеспечивать возможность досмотра кузовов грузовых автомобилей без захода на них и иметь площадь не менее 1 м . Эстакады должны быть оборудованы лестницами с перилами для безопасного подъема и спуска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осмотром двигателя транспортного средства с поднимающейся кабиной должны применяться штатные устройства автомобиля для фиксации кабины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горячим частям двигателя и к электрооборудованию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Лестницы, подножки, ступени транспортного средства перед осмотром должны быть очищены от грязи,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вскрытии автофургона необходимо находиться на расстоянии от открываемых дверей автофургона во избежание получения травм открываемыми дверями либо вследствие возможного выпадения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самопроизвольного движения транспортного средства при его осмотре водитель должен выключить двигатель, поставить рычаг переключения передач в нейтральное положение (на автомобилях с автоматической коробкой передач - в положение "Паркинг") и затормозить транспортное средство стояночным тормозом, по требованию работника охраны заглушить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проводить осмотр транспортного средства: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открытых незащищенных площадках в грозу, метель, при сильном ветре и интенсивных атмосферных осадках, создающих угрозу травмирования;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осмотр моторного отсека при работающем двигателе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движения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 эстакад, не оборудованных приспособлениями, обеспечивающими безопасное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пропуском транспортного средства с территории охраняемого объекта необходимо остановить транспортное средство, открыть проездные ворота. Створки немеханизированных проездных ворот в открытом положении должны быть зафиксированы стопорным устройством (фиксатором).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транспортных средств через проём ворот допускается только при полном открытии створок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управлении механизированными проездными воротами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убедиться в отсутствии людей, транспортных средств и посторонних предметов в зоне движения створок ворот;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снять запирающее устройство, если створки ворот дополнительно им заперты;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произвести открывание или закрывание створок ворот нажатием соответствующих кнопок на пульте управления до отключения привода и остановки створок в крайних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неисправности проездных ворот (возникновение постороннего шума, стука, вибрации створок ворот и механизмов управления ими) необходимо немедленно прекратить работу и сообщить о неисправности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завершении пропуска транспортного средства створки механизированных ворот должны быть установлены в положение "закрыто".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исправный инструмент, использовать его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охранником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немедленно сообщить об этом по телефону </w:t>
      </w:r>
      <w:r>
        <w:rPr>
          <w:rFonts w:hAnsi="Times New Roman" w:cs="Times New Roman"/>
          <w:color w:val="000000"/>
          <w:sz w:val="24"/>
          <w:szCs w:val="24"/>
        </w:rPr>
        <w:t xml:space="preserve">112 </w:t>
      </w:r>
      <w:r>
        <w:rPr>
          <w:rFonts w:hAnsi="Times New Roman" w:cs="Times New Roman"/>
          <w:color w:val="000000"/>
          <w:sz w:val="24"/>
          <w:szCs w:val="24"/>
        </w:rPr>
        <w:t>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Вызов скорой медицинской помощи по телефону </w:t>
      </w:r>
      <w:r>
        <w:rPr>
          <w:rFonts w:hAnsi="Times New Roman" w:cs="Times New Roman"/>
          <w:color w:val="000000"/>
          <w:sz w:val="24"/>
          <w:szCs w:val="24"/>
        </w:rPr>
        <w:t>103</w:t>
      </w:r>
      <w:r>
        <w:rPr>
          <w:rFonts w:hAnsi="Times New Roman" w:cs="Times New Roman"/>
          <w:color w:val="000000"/>
          <w:sz w:val="24"/>
          <w:szCs w:val="24"/>
        </w:rPr>
        <w:t xml:space="preserve"> или </w:t>
      </w:r>
      <w:r>
        <w:rPr>
          <w:rFonts w:hAnsi="Times New Roman" w:cs="Times New Roman"/>
          <w:color w:val="000000"/>
          <w:sz w:val="24"/>
          <w:szCs w:val="24"/>
        </w:rPr>
        <w:t>112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Передать смену сменщику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619c5eca8c4c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