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агрегате дробильном мясокостном типа АДМК-5</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агрегате дробильном мясокостном типа АДМК-5.</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на агрегате дробильном мясокостном типа АДМК-5.</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агрегате дробильном мясокостном типа АДМК-5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агрегате дробильном мясокостном типа АДМК-5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пыли в воздухе.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необходимых для работы инструментов,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Пользоваться неисправным оборудованием и приспособлениями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Поддерживать на рабочем месте чистоту и порядок.</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агрегат АДМК-5 без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работы и перемещать агрегат АДМК-5 без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заглядывать в загрузочный бункер в процессе дробления;</w:t>
      </w:r>
    </w:p>
    <w:p>
      <w:pPr>
        <w:spacing w:line="240" w:lineRule="auto"/>
        <w:rPr>
          <w:rFonts w:hAnsi="Times New Roman" w:cs="Times New Roman"/>
          <w:color w:val="000000"/>
          <w:sz w:val="24"/>
          <w:szCs w:val="24"/>
        </w:rPr>
      </w:pPr>
      <w:r>
        <w:rPr>
          <w:rFonts w:hAnsi="Times New Roman" w:cs="Times New Roman"/>
          <w:color w:val="000000"/>
          <w:sz w:val="24"/>
          <w:szCs w:val="24"/>
        </w:rPr>
        <w:t>- проталкивать материал в зоне дробления руками или какими-либо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дробить материал при снятом загрузочном бункере и с открытой крышкой;</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регулировать величину разгрузочной щели на работающей дробилке (допускается регулировка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защитного ограждения клиноременной передачи дробилки;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дробление материала при неработающем сократителе;</w:t>
      </w:r>
    </w:p>
    <w:p>
      <w:pPr>
        <w:spacing w:line="240" w:lineRule="auto"/>
        <w:rPr>
          <w:rFonts w:hAnsi="Times New Roman" w:cs="Times New Roman"/>
          <w:color w:val="000000"/>
          <w:sz w:val="24"/>
          <w:szCs w:val="24"/>
        </w:rPr>
      </w:pPr>
      <w:r>
        <w:rPr>
          <w:rFonts w:hAnsi="Times New Roman" w:cs="Times New Roman"/>
          <w:color w:val="000000"/>
          <w:sz w:val="24"/>
          <w:szCs w:val="24"/>
        </w:rPr>
        <w:t>5.1.3. Агрегат необходимо отключать, в случае:</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перерыва в работе или ухода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чистки, смазки и регулировки агрегата;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выполнения любых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на рабочее место лиц, не имеющих отношение к данной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травма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Отключить машину от электрической сети при возникновении посторонних шумов, вибрации, появлении искрения, запаха горящей изоляции. Доложить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получении травмы, отравлении или внезапном заболевании необходимо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вызвать пожарную команду и принять меры по тушению пожара первичными средствами пожаротушения, если жизни не угрожает опасность.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немедленно освободить пострадавшего от действия электрического тока, соблюдая при этом правила безопасности, оказать пострадавшему первую помощь, сообщить о случившемся своему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агрегат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и смазку машины и привести в порядок рабочее место, убрать мусор, используя уборочный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25f6af390c4f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