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при ведении открытых горных работ</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ведении открытых горных работ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ведении открытых горных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при ведении открытых горных работ,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выполнению открытых горных работ допускаются лица не моложе 18 лет, имеющие специальное обучение,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на открытом воздухе при действии опасных атмосферных явлений: повышенной (пониженной) температуре воздуха, повышенной (пониженной) влажности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обрушающиеся горные породы;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разрушение конструкций;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работе с грунтовой мельницей на рабочего могут воздействовать следующие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или мокрым поверхностям;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Взрывные работы должны выполняться взрывниками под руководством лица (руководителя взрывных работ), назначенного приказом по организации, ведущей взрывные работы, по письменным нарядам (заданиям на выполнение работ) с ознакомлением с ними под подпись и соответствующим нарядам-путевкам.</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убрать посторонние предметы и все, что может препятствовать безопасному выполнению работ, освободить проходы и места складирования.</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комплектность и исправность оборудования, приборов и инструмента, принадлежностей: промерочной рулетки, флажков для оцепления, флажка на случай отметки в забое невзорвавшегося заряда, сумок для взрывчатых веществ (ВВ) и средств взрывания (СВ), ножа, спичек, тлеющего фитиля, часов (старшему взрывнику).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Взрывчатые материалы взрывникам выдают по наряду-путевке на производство взрывных работ. Не допускается выдавать взрывчатые материалы взрывникам, не отчитавшимся в израсходовании ранее полученных ВМ.</w:t>
      </w:r>
    </w:p>
    <w:p>
      <w:pPr>
        <w:spacing w:line="240" w:lineRule="auto"/>
        <w:rPr>
          <w:rFonts w:hAnsi="Times New Roman" w:cs="Times New Roman"/>
          <w:color w:val="000000"/>
          <w:sz w:val="24"/>
          <w:szCs w:val="24"/>
        </w:rPr>
      </w:pPr>
      <w:r>
        <w:rPr>
          <w:rFonts w:hAnsi="Times New Roman" w:cs="Times New Roman"/>
          <w:color w:val="000000"/>
          <w:sz w:val="24"/>
          <w:szCs w:val="24"/>
        </w:rPr>
        <w:t>4.2.2.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Места работ должны быть освещены в соответствии с требованиями следующих норм освещенности, указанных в таблице № 1.</w:t>
      </w:r>
    </w:p>
    <w:p>
      <w:pPr>
        <w:spacing w:line="240" w:lineRule="auto"/>
        <w:rPr>
          <w:rFonts w:hAnsi="Times New Roman" w:cs="Times New Roman"/>
          <w:color w:val="000000"/>
          <w:sz w:val="24"/>
          <w:szCs w:val="24"/>
        </w:rPr>
      </w:pPr>
      <w:r>
        <w:rPr>
          <w:rFonts w:hAnsi="Times New Roman" w:cs="Times New Roman"/>
          <w:color w:val="000000"/>
          <w:sz w:val="24"/>
          <w:szCs w:val="24"/>
        </w:rPr>
        <w:t>Таблица № 1</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Наименования объектов</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Освещенность не менее, люкс</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Плоскость нормируемой освещенности</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Примечание</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Территория в районе ведения работ</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 уровне освещаемой поверхности</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Устанавливается техническим руководителем организации</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Места работы горных</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Горизонтальная</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 глубине и высоте</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машин и механизмов</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8</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Вертикальная</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действия рабочего оборудования</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Места ручных работ</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Горизонтальная</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Вертикальная</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Места разгрузки горнотранспортных машин</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Горизонтальная</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 уровне освещаемой поверхности</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Место работы</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Горизонтальная</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 всей высоте</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гидромониторной установки</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Вертикальная</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разрабатываемого уступа в радиусе действия струи</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Место укладки породы в гидроотвал</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Горизонтальная</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Территория свеженамытых гидроотвалов</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Горизонтальная</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Место производства буровых работ</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Вертикальная</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 высоту станка</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Кабины машин и механизмов</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Горизонтальная</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 высоте 0,8 м от пола</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Помещение землесосной установки и район зумпфов</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Горизонтальная</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помещениях землесосной установки на высоте 0,8 м от пола</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Конвейерные поточные линии</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Зона обслуживания барабанов конвейеров</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Горизонтальная</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Помещения на участках для обогрева работников</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Горизонтальная</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Лестницы, спуски с уступа на уступ</w:t>
            </w:r>
          </w:p>
        </w:tc>
        <w:tc>
          <w:tcPr>
            <w:tcW w:w="0" w:type="auto"/>
            <w:gridSpan w:val="3"/>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Постоянные пути движения работников</w:t>
            </w:r>
          </w:p>
        </w:tc>
        <w:tc>
          <w:tcPr>
            <w:tcW w:w="0" w:type="auto"/>
            <w:gridSpan w:val="3"/>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Горизонтальная</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Технологические дороги в пределах объекта горных работ</w:t>
            </w:r>
          </w:p>
        </w:tc>
        <w:tc>
          <w:tcPr>
            <w:tcW w:w="0" w:type="auto"/>
            <w:gridSpan w:val="3"/>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0,5–3</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Горизонтальная</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зависимости от интенсивности на уровне движения автотранспорта</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Железнодорожные пути в пределах объекта горных работ</w:t>
            </w:r>
          </w:p>
        </w:tc>
        <w:tc>
          <w:tcPr>
            <w:tcW w:w="0" w:type="auto"/>
            <w:gridSpan w:val="3"/>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Горизонтальная</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 уровне верхнего строения пути</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проведении открытых горных работ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состоянием оборудования, приспособлений, инструмента,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5.1.7.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В местах прохода и проезда под ленточными конвейерами необходимо устанавливать защитные полки для предохранения людей от возможного поражения падающими с ленты кусками транспортируемого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людям в опасной зоне работающих механизмов, в пределах призмы возможного обрушения на уступах и в непосредственной близости от нижней бровки откоса уступа;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на уступах в зоне нависающих козырьков, глыб, крупных валунов, а также нависей из снега и льда. В случае невозможности произвести ликвидацию заколов или оборку борта все работы в опасной зоне должны быть остановлены, люди выведены, а опасный участок должен быть огражден и установлены предупредительные знаки.</w:t>
      </w:r>
    </w:p>
    <w:p>
      <w:pPr>
        <w:spacing w:line="240" w:lineRule="auto"/>
        <w:rPr>
          <w:rFonts w:hAnsi="Times New Roman" w:cs="Times New Roman"/>
          <w:color w:val="000000"/>
          <w:sz w:val="24"/>
          <w:szCs w:val="24"/>
        </w:rPr>
      </w:pPr>
      <w:r>
        <w:rPr>
          <w:rFonts w:hAnsi="Times New Roman" w:cs="Times New Roman"/>
          <w:color w:val="000000"/>
          <w:sz w:val="24"/>
          <w:szCs w:val="24"/>
        </w:rPr>
        <w:t>5.1.10. Горные работы по проведению траншей, разработке уступов, дражных полигонов, отсыпке отвалов должны вестись в соответствии с проектом и локальными проектами (паспортами) с учетом инженерно-геологических условий, утвержденными техническим руководителем объекта.</w:t>
      </w:r>
    </w:p>
    <w:p>
      <w:pPr>
        <w:spacing w:line="240" w:lineRule="auto"/>
        <w:rPr>
          <w:rFonts w:hAnsi="Times New Roman" w:cs="Times New Roman"/>
          <w:color w:val="000000"/>
          <w:sz w:val="24"/>
          <w:szCs w:val="24"/>
        </w:rPr>
      </w:pPr>
      <w:r>
        <w:rPr>
          <w:rFonts w:hAnsi="Times New Roman" w:cs="Times New Roman"/>
          <w:color w:val="000000"/>
          <w:sz w:val="24"/>
          <w:szCs w:val="24"/>
        </w:rPr>
        <w:t>В паспорте указываются размеры рабочих площадок, берм, углы откоса, высота уступа, призма обрушения, расстояния от горного и транспортного оборудования до бровок уступа или отвала.</w:t>
      </w:r>
    </w:p>
    <w:p>
      <w:pPr>
        <w:spacing w:line="240" w:lineRule="auto"/>
        <w:rPr>
          <w:rFonts w:hAnsi="Times New Roman" w:cs="Times New Roman"/>
          <w:color w:val="000000"/>
          <w:sz w:val="24"/>
          <w:szCs w:val="24"/>
        </w:rPr>
      </w:pPr>
      <w:r>
        <w:rPr>
          <w:rFonts w:hAnsi="Times New Roman" w:cs="Times New Roman"/>
          <w:color w:val="000000"/>
          <w:sz w:val="24"/>
          <w:szCs w:val="24"/>
        </w:rPr>
        <w:t>При изменении горно-геологических условий ведение горных работ должно быть приостановлено до пересмотра паспорта.</w:t>
      </w:r>
    </w:p>
    <w:p>
      <w:pPr>
        <w:spacing w:line="240" w:lineRule="auto"/>
        <w:rPr>
          <w:rFonts w:hAnsi="Times New Roman" w:cs="Times New Roman"/>
          <w:color w:val="000000"/>
          <w:sz w:val="24"/>
          <w:szCs w:val="24"/>
        </w:rPr>
      </w:pPr>
      <w:r>
        <w:rPr>
          <w:rFonts w:hAnsi="Times New Roman" w:cs="Times New Roman"/>
          <w:color w:val="000000"/>
          <w:sz w:val="24"/>
          <w:szCs w:val="24"/>
        </w:rPr>
        <w:t>С паспортом должны быть ознакомлены под подпись все работники, осуществляющие контроль и выполняющие работы. Запрещается ведение горных работ без утвержденного паспорта, а также с отступлением от него.</w:t>
      </w:r>
    </w:p>
    <w:p>
      <w:pPr>
        <w:spacing w:line="240" w:lineRule="auto"/>
        <w:rPr>
          <w:rFonts w:hAnsi="Times New Roman" w:cs="Times New Roman"/>
          <w:color w:val="000000"/>
          <w:sz w:val="24"/>
          <w:szCs w:val="24"/>
        </w:rPr>
      </w:pPr>
      <w:r>
        <w:rPr>
          <w:rFonts w:hAnsi="Times New Roman" w:cs="Times New Roman"/>
          <w:color w:val="000000"/>
          <w:sz w:val="24"/>
          <w:szCs w:val="24"/>
        </w:rPr>
        <w:t>5.1.11. При применении безлюдной технологии зоны (границы) ведения горных работ должны быть обозначены предупредительными знаками и оснащены автоматизированными системами контроля доступа и связи. Контроль за применением безлюдной технологии погрузки и движения автотранспорта должен осуществляться оператором, находящимся на безопасном расстоянии, определяемом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5.1.12. Высота уступа должна определяться проектом с учетом результатов исследований физико-механических свойств горных пород и горно-геологических условий их залегания, а также параметров применяемого оборудования. Образование козырьков и нависей на уступах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Высота уступов не должна превышать при разработке вручную рыхлых устойчивых плотных пород 6 м, рыхлых неустойчивых сыпучих пород – 3 м.</w:t>
      </w:r>
    </w:p>
    <w:p>
      <w:pPr>
        <w:spacing w:line="240" w:lineRule="auto"/>
        <w:rPr>
          <w:rFonts w:hAnsi="Times New Roman" w:cs="Times New Roman"/>
          <w:color w:val="000000"/>
          <w:sz w:val="24"/>
          <w:szCs w:val="24"/>
        </w:rPr>
      </w:pPr>
      <w:r>
        <w:rPr>
          <w:rFonts w:hAnsi="Times New Roman" w:cs="Times New Roman"/>
          <w:color w:val="000000"/>
          <w:sz w:val="24"/>
          <w:szCs w:val="24"/>
        </w:rPr>
        <w:t>5.1.13. Углы откосов рабочих уступов определяются проектом с учетом физико-механических свойств горных пород.</w:t>
      </w:r>
    </w:p>
    <w:p>
      <w:pPr>
        <w:spacing w:line="240" w:lineRule="auto"/>
        <w:rPr>
          <w:rFonts w:hAnsi="Times New Roman" w:cs="Times New Roman"/>
          <w:color w:val="000000"/>
          <w:sz w:val="24"/>
          <w:szCs w:val="24"/>
        </w:rPr>
      </w:pPr>
      <w:r>
        <w:rPr>
          <w:rFonts w:hAnsi="Times New Roman" w:cs="Times New Roman"/>
          <w:color w:val="000000"/>
          <w:sz w:val="24"/>
          <w:szCs w:val="24"/>
        </w:rPr>
        <w:t>5.1.14. Ширина рабочих площадок объекта открытых горных работ с учетом их назначения, а также расположения на них горного и транспортного оборудования, транспортных коммуникаций, линий электроснабжения и связи определяется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5.1.15. Расстояние от нижней бровки уступа и от верхней бровки уступа карьера до оси ближайшего железнодорожного пути должно быть не менее 2,5 м. При наличии железнодорожных путей или конвейеров расстояние от нижней бровки отвала до оси железнодорожного пути или оси конвейера должно быть не менее 4 м.</w:t>
      </w:r>
    </w:p>
    <w:p>
      <w:pPr>
        <w:spacing w:line="240" w:lineRule="auto"/>
        <w:rPr>
          <w:rFonts w:hAnsi="Times New Roman" w:cs="Times New Roman"/>
          <w:color w:val="000000"/>
          <w:sz w:val="24"/>
          <w:szCs w:val="24"/>
        </w:rPr>
      </w:pPr>
      <w:r>
        <w:rPr>
          <w:rFonts w:hAnsi="Times New Roman" w:cs="Times New Roman"/>
          <w:color w:val="000000"/>
          <w:sz w:val="24"/>
          <w:szCs w:val="24"/>
        </w:rPr>
        <w:t>5.1.16. При погашении уступов, постановке их в предельное положение необходимо соблюдать общий угол откоса бортов, установленный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5.1.17. Поперечный профиль предохранительных берм должен быть горизонтальным или иметь уклон в сторону борта. Бермы, по которым происходит систематическое передвижение рабочих, должны иметь ограждение и очищаться от осыпей и кусков породы.</w:t>
      </w:r>
    </w:p>
    <w:p>
      <w:pPr>
        <w:spacing w:line="240" w:lineRule="auto"/>
        <w:rPr>
          <w:rFonts w:hAnsi="Times New Roman" w:cs="Times New Roman"/>
          <w:color w:val="000000"/>
          <w:sz w:val="24"/>
          <w:szCs w:val="24"/>
        </w:rPr>
      </w:pPr>
      <w:r>
        <w:rPr>
          <w:rFonts w:hAnsi="Times New Roman" w:cs="Times New Roman"/>
          <w:color w:val="000000"/>
          <w:sz w:val="24"/>
          <w:szCs w:val="24"/>
        </w:rPr>
        <w:t>5.1.18. При ведении горных работ необходимо осуществлять контроль состояния бортов, траншей, уступов, откосов и отвалов, а также зон возможных обвалов или провалов вследствие наличия подземных выработок или карстов. При обнаружении признаков сдвижения горных пород работы прекращаются до принятия мер, обеспечивающих устойчивость горного массива.</w:t>
      </w:r>
    </w:p>
    <w:p>
      <w:pPr>
        <w:spacing w:line="240" w:lineRule="auto"/>
        <w:rPr>
          <w:rFonts w:hAnsi="Times New Roman" w:cs="Times New Roman"/>
          <w:color w:val="000000"/>
          <w:sz w:val="24"/>
          <w:szCs w:val="24"/>
        </w:rPr>
      </w:pPr>
      <w:r>
        <w:rPr>
          <w:rFonts w:hAnsi="Times New Roman" w:cs="Times New Roman"/>
          <w:color w:val="000000"/>
          <w:sz w:val="24"/>
          <w:szCs w:val="24"/>
        </w:rPr>
        <w:t>Горные работы могут быть возобновлены с разрешения технического руководителя карьера по утвержденному им паспорту, предусматривающему необходимые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Периодичность осмотров и инструментальных наблюдений за деформациями бортов, откосов, уступов и отвалов, а также объектов, попадающих в зоны влияния горных работ и расположенных на земной поверхности, устанавливается в проекте производства маркшейдерских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5.1.19. В карьере должна осуществляться регулярная по мере необходимости оборка уступов (ручным, механизированным и буровзрывным способами) от нависей и козырьков, ликвидация заколов по утвержденному техническим руководителем организации паспорту (проекту организации работ), предусматривающему меры безопасности. Ручная оборка должна осуществляться по наряду-допуску под наблюдением лица технического надзора. Бурение, оборка откосов и другие операции на откосах уступов с углом более 35 градусов должны выполняться при использовании страховочных привязей с канатами, закрепленными за опору.</w:t>
      </w:r>
    </w:p>
    <w:p>
      <w:pPr>
        <w:spacing w:line="240" w:lineRule="auto"/>
        <w:rPr>
          <w:rFonts w:hAnsi="Times New Roman" w:cs="Times New Roman"/>
          <w:color w:val="000000"/>
          <w:sz w:val="24"/>
          <w:szCs w:val="24"/>
        </w:rPr>
      </w:pPr>
      <w:r>
        <w:rPr>
          <w:rFonts w:hAnsi="Times New Roman" w:cs="Times New Roman"/>
          <w:color w:val="000000"/>
          <w:sz w:val="24"/>
          <w:szCs w:val="24"/>
        </w:rPr>
        <w:t>Страховочные привязи должны осматриваться перед каждым применением и ежегодно проверяться с записью в журнале осмотра.</w:t>
      </w:r>
    </w:p>
    <w:p>
      <w:pPr>
        <w:spacing w:line="240" w:lineRule="auto"/>
        <w:rPr>
          <w:rFonts w:hAnsi="Times New Roman" w:cs="Times New Roman"/>
          <w:color w:val="000000"/>
          <w:sz w:val="24"/>
          <w:szCs w:val="24"/>
        </w:rPr>
      </w:pPr>
      <w:r>
        <w:rPr>
          <w:rFonts w:hAnsi="Times New Roman" w:cs="Times New Roman"/>
          <w:color w:val="000000"/>
          <w:sz w:val="24"/>
          <w:szCs w:val="24"/>
        </w:rPr>
        <w:t>5.1.20. При ведении горных работ расстояние между горнотранспортными машинами по горизонтали и вертикали должно составлять не менее 10 м при ручной разработке, не менее полуторной суммы максимальных радиусов черпания – при экскаваторной разработке, при работе экскаваторов спаренно на одном горизонте расстояние между ними должно быть не менее суммы их наибольших радиусов действия (для драглайна – с учетом величины заброса ковша). При производстве горных работ с применением безлюдных технологий расстояние между оборудованием должно определяться в соответствии с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5.1.21. Если склонность к оползням устанавливается в процессе ведения горных работ, необходимо внести соответствующие изменения в проектную документацию с учетом результатов исследований физико-механических свойств пород на основании обоснования устойчивости пород и предусмотреть необходимые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5.1.22. Ведение горных работ по безвзрывной или комбинированной технологии подготовки крепких горных массивов к экскавации с использованием разупрочняющих растворов производится по специальному технологическому регламенту. В регламенте должны быть предусмотрены мероприятия по безопасному выполнению работ при применении и приготовлении растворов, а также разработаны параметры ведения буровых, взрывных, заливочных и горных работ. Технологический регламент должен утверждать технический руководитель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5.1.23. Работы по оттаиванию мерзлого грунта необходимо производить по проекту, утверждаемому техническим руководителем организации, предусматривающему меры по безопасности ведения таких работ.</w:t>
      </w:r>
    </w:p>
    <w:p>
      <w:pPr>
        <w:spacing w:line="240" w:lineRule="auto"/>
        <w:rPr>
          <w:rFonts w:hAnsi="Times New Roman" w:cs="Times New Roman"/>
          <w:color w:val="000000"/>
          <w:sz w:val="24"/>
          <w:szCs w:val="24"/>
        </w:rPr>
      </w:pPr>
      <w:r>
        <w:rPr>
          <w:rFonts w:hAnsi="Times New Roman" w:cs="Times New Roman"/>
          <w:color w:val="000000"/>
          <w:sz w:val="24"/>
          <w:szCs w:val="24"/>
        </w:rPr>
        <w:t>5.1.24. Старые и затопленные выработки и поверхностные водоемы должны быть указаны на планах горных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5.1.25. Горные работы вблизи затопленных выработок или водоемов необходимо производить по проекту, утверждаемому техническим руководителем организации, предусматривающему оставление целиков для предотвращения прорыва воды.</w:t>
      </w:r>
    </w:p>
    <w:p>
      <w:pPr>
        <w:spacing w:line="240" w:lineRule="auto"/>
        <w:rPr>
          <w:rFonts w:hAnsi="Times New Roman" w:cs="Times New Roman"/>
          <w:color w:val="000000"/>
          <w:sz w:val="24"/>
          <w:szCs w:val="24"/>
        </w:rPr>
      </w:pPr>
      <w:r>
        <w:rPr>
          <w:rFonts w:hAnsi="Times New Roman" w:cs="Times New Roman"/>
          <w:color w:val="000000"/>
          <w:sz w:val="24"/>
          <w:szCs w:val="24"/>
        </w:rPr>
        <w:t>5.1.26. Рабочее место для ведения буровых работ должно быть обеспечено: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подготовленным фронтом работ (очищенной и спланированной рабочей площадкой);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проектом (паспортом, технологической картой) на бурение.</w:t>
      </w:r>
    </w:p>
    <w:p>
      <w:pPr>
        <w:spacing w:line="240" w:lineRule="auto"/>
        <w:rPr>
          <w:rFonts w:hAnsi="Times New Roman" w:cs="Times New Roman"/>
          <w:color w:val="000000"/>
          <w:sz w:val="24"/>
          <w:szCs w:val="24"/>
        </w:rPr>
      </w:pPr>
      <w:r>
        <w:rPr>
          <w:rFonts w:hAnsi="Times New Roman" w:cs="Times New Roman"/>
          <w:color w:val="000000"/>
          <w:sz w:val="24"/>
          <w:szCs w:val="24"/>
        </w:rPr>
        <w:t>Маркшейдерское обеспечение буровзрывных работ должно осуществляться в соответствии с установленными требованиями.</w:t>
      </w:r>
    </w:p>
    <w:p>
      <w:pPr>
        <w:spacing w:line="240" w:lineRule="auto"/>
        <w:rPr>
          <w:rFonts w:hAnsi="Times New Roman" w:cs="Times New Roman"/>
          <w:color w:val="000000"/>
          <w:sz w:val="24"/>
          <w:szCs w:val="24"/>
        </w:rPr>
      </w:pPr>
      <w:r>
        <w:rPr>
          <w:rFonts w:hAnsi="Times New Roman" w:cs="Times New Roman"/>
          <w:color w:val="000000"/>
          <w:sz w:val="24"/>
          <w:szCs w:val="24"/>
        </w:rPr>
        <w:t>5.1.27. Буровой станок должен быть установлен на безопасном расстоянии от верхней бровки уступа в соответствии с проектом, но не менее 2 м от бровки до ближайшей точки опоры станка, а его продольная ось при бурении первого ряда скважин должна быть перпендикулярна бровке уступа.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подкладывать куски породы под домкраты станков. При установке буровых станков шарошечного бурения на первый от откоса ряд скважин управление станками должно осуществляться дистанционно.</w:t>
      </w:r>
    </w:p>
    <w:p>
      <w:pPr>
        <w:spacing w:line="240" w:lineRule="auto"/>
        <w:rPr>
          <w:rFonts w:hAnsi="Times New Roman" w:cs="Times New Roman"/>
          <w:color w:val="000000"/>
          <w:sz w:val="24"/>
          <w:szCs w:val="24"/>
        </w:rPr>
      </w:pPr>
      <w:r>
        <w:rPr>
          <w:rFonts w:hAnsi="Times New Roman" w:cs="Times New Roman"/>
          <w:color w:val="000000"/>
          <w:sz w:val="24"/>
          <w:szCs w:val="24"/>
        </w:rPr>
        <w:t>Перемещение бурового станка с поднятой мачтой на уступе должно осуществляться по спланированной площадке в пределах выставленного блока под бурение. При перегоне бурового станка с уступа на уступ или под высоковольтной линией мачта должна быть уложена в транспортное положение, буровой инструмент – снят или закреплен.</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бурение скважин станками огневого (термического) бурения в горных породах, склонных к возгоранию и выделению ядовитых газов.</w:t>
      </w:r>
    </w:p>
    <w:p>
      <w:pPr>
        <w:spacing w:line="240" w:lineRule="auto"/>
        <w:rPr>
          <w:rFonts w:hAnsi="Times New Roman" w:cs="Times New Roman"/>
          <w:color w:val="000000"/>
          <w:sz w:val="24"/>
          <w:szCs w:val="24"/>
        </w:rPr>
      </w:pPr>
      <w:r>
        <w:rPr>
          <w:rFonts w:hAnsi="Times New Roman" w:cs="Times New Roman"/>
          <w:color w:val="000000"/>
          <w:sz w:val="24"/>
          <w:szCs w:val="24"/>
        </w:rPr>
        <w:t>5.1.28. Каждая скважина, диаметр устья которой – более 250 мм, после окончания бурения должна быть перекрыта. Участки пробуренных скважин должны быть ограждены предупредительными знаками. Порядок ограждения зоны пробуренных скважин и их перекрытия утверждается техническим руководителем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Разведочные буровые скважины, не подлежащие применению, должны быть ликвидированы.</w:t>
      </w:r>
    </w:p>
    <w:p>
      <w:pPr>
        <w:spacing w:line="240" w:lineRule="auto"/>
        <w:rPr>
          <w:rFonts w:hAnsi="Times New Roman" w:cs="Times New Roman"/>
          <w:color w:val="000000"/>
          <w:sz w:val="24"/>
          <w:szCs w:val="24"/>
        </w:rPr>
      </w:pPr>
      <w:r>
        <w:rPr>
          <w:rFonts w:hAnsi="Times New Roman" w:cs="Times New Roman"/>
          <w:color w:val="000000"/>
          <w:sz w:val="24"/>
          <w:szCs w:val="24"/>
        </w:rPr>
        <w:t>5.1.29. Шнеки у станков вращательного бурения с немеханизированной сборкой-разборкой бурового става и очисткой устья скважины должны иметь ограждения, сблокированные с подачей электропитания на двигатель вращателя.</w:t>
      </w:r>
    </w:p>
    <w:p>
      <w:pPr>
        <w:spacing w:line="240" w:lineRule="auto"/>
        <w:rPr>
          <w:rFonts w:hAnsi="Times New Roman" w:cs="Times New Roman"/>
          <w:color w:val="000000"/>
          <w:sz w:val="24"/>
          <w:szCs w:val="24"/>
        </w:rPr>
      </w:pPr>
      <w:r>
        <w:rPr>
          <w:rFonts w:hAnsi="Times New Roman" w:cs="Times New Roman"/>
          <w:color w:val="000000"/>
          <w:sz w:val="24"/>
          <w:szCs w:val="24"/>
        </w:rPr>
        <w:t>5.1.30. Запрещается работа буровых станков при неисправных ограничителях переподъема бурового снаряда, тормозе лебедки и системы пылеподавления.</w:t>
      </w:r>
    </w:p>
    <w:p>
      <w:pPr>
        <w:spacing w:line="240" w:lineRule="auto"/>
        <w:rPr>
          <w:rFonts w:hAnsi="Times New Roman" w:cs="Times New Roman"/>
          <w:color w:val="000000"/>
          <w:sz w:val="24"/>
          <w:szCs w:val="24"/>
        </w:rPr>
      </w:pPr>
      <w:r>
        <w:rPr>
          <w:rFonts w:hAnsi="Times New Roman" w:cs="Times New Roman"/>
          <w:color w:val="000000"/>
          <w:sz w:val="24"/>
          <w:szCs w:val="24"/>
        </w:rPr>
        <w:t>5.1.31. Подъемный канат бурового станка должен иметь пятикратный запас прочности. Не менее одного раза в неделю механик участка или другое специально назначенное лицо должны проводить наружный осмотр каната с отметкой в журнале о результатах осмотра.</w:t>
      </w:r>
    </w:p>
    <w:p>
      <w:pPr>
        <w:spacing w:line="240" w:lineRule="auto"/>
        <w:rPr>
          <w:rFonts w:hAnsi="Times New Roman" w:cs="Times New Roman"/>
          <w:color w:val="000000"/>
          <w:sz w:val="24"/>
          <w:szCs w:val="24"/>
        </w:rPr>
      </w:pPr>
      <w:r>
        <w:rPr>
          <w:rFonts w:hAnsi="Times New Roman" w:cs="Times New Roman"/>
          <w:color w:val="000000"/>
          <w:sz w:val="24"/>
          <w:szCs w:val="24"/>
        </w:rPr>
        <w:t>Выступающие концы проволок должны быть обрезаны. При наличии в подъемном канате более 10 процентов порванных проволок на длине шага свивки его необходимо заменить.</w:t>
      </w:r>
    </w:p>
    <w:p>
      <w:pPr>
        <w:spacing w:line="240" w:lineRule="auto"/>
        <w:rPr>
          <w:rFonts w:hAnsi="Times New Roman" w:cs="Times New Roman"/>
          <w:color w:val="000000"/>
          <w:sz w:val="24"/>
          <w:szCs w:val="24"/>
        </w:rPr>
      </w:pPr>
      <w:r>
        <w:rPr>
          <w:rFonts w:hAnsi="Times New Roman" w:cs="Times New Roman"/>
          <w:color w:val="000000"/>
          <w:sz w:val="24"/>
          <w:szCs w:val="24"/>
        </w:rPr>
        <w:t>5.1.32. При бурении перфораторами и электросверлами ширина рабочей бермы должна быть не менее 4 м. Подготовленные для бурения негабаритные куски должны укладываться устойчиво в один слой вне зоны возможного обрушения уступа.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Для обеспечения устойчивости откосов горных выработок и отвалов, снижения влажности разрабатываемых и вскрышных пород, создания безопасных условий работы горного и транспортного оборудования в проекте должны предусматриваться меры по осушению территории производства работ и защите от поверхностных вод и атмосферных осадков.</w:t>
      </w:r>
    </w:p>
    <w:p>
      <w:pPr>
        <w:spacing w:line="240" w:lineRule="auto"/>
        <w:rPr>
          <w:rFonts w:hAnsi="Times New Roman" w:cs="Times New Roman"/>
          <w:color w:val="000000"/>
          <w:sz w:val="24"/>
          <w:szCs w:val="24"/>
        </w:rPr>
      </w:pPr>
      <w:r>
        <w:rPr>
          <w:rFonts w:hAnsi="Times New Roman" w:cs="Times New Roman"/>
          <w:color w:val="000000"/>
          <w:sz w:val="24"/>
          <w:szCs w:val="24"/>
        </w:rPr>
        <w:t>5.2.2. Для предотвращения оползней поверхность возможного оползневого массива должна быть ограждена нагорными канавами или предохранительными валами, защищающими массив от проникновения в него поверхностных и талых вод, снега, грязевых потоков, в соответствии с ежегодно разрабатываемыми и утверждаемыми техническим руководителем организации мероприятиями.</w:t>
      </w:r>
    </w:p>
    <w:p>
      <w:pPr>
        <w:spacing w:line="240" w:lineRule="auto"/>
        <w:rPr>
          <w:rFonts w:hAnsi="Times New Roman" w:cs="Times New Roman"/>
          <w:color w:val="000000"/>
          <w:sz w:val="24"/>
          <w:szCs w:val="24"/>
        </w:rPr>
      </w:pPr>
      <w:r>
        <w:rPr>
          <w:rFonts w:hAnsi="Times New Roman" w:cs="Times New Roman"/>
          <w:color w:val="000000"/>
          <w:sz w:val="24"/>
          <w:szCs w:val="24"/>
        </w:rPr>
        <w:t>5.2.3. При главной водоотливной установке должен быть водосборник. В дренажных шахтах водосборник должен иметь два отделения. Вместимость водосборника при открытом водоотливе должна рассчитываться не менее чем на трехчасовой приток, а водосборники водоотливных установок дренажных шахт – на двухчасовой нормальный приток.</w:t>
      </w:r>
    </w:p>
    <w:p>
      <w:pPr>
        <w:spacing w:line="240" w:lineRule="auto"/>
        <w:rPr>
          <w:rFonts w:hAnsi="Times New Roman" w:cs="Times New Roman"/>
          <w:color w:val="000000"/>
          <w:sz w:val="24"/>
          <w:szCs w:val="24"/>
        </w:rPr>
      </w:pPr>
      <w:r>
        <w:rPr>
          <w:rFonts w:hAnsi="Times New Roman" w:cs="Times New Roman"/>
          <w:color w:val="000000"/>
          <w:sz w:val="24"/>
          <w:szCs w:val="24"/>
        </w:rPr>
        <w:t>5.2.4. На стационарных водоотливных установках должно обеспечиваться автоматическое включение резервных насосов взамен вышедших из строя, возможность дистанционного управления насосами и контроль работы установки с передачей сигналов на пульт управления диспетчера. Суммарная производительность рабочих насосов водоотливной установки должна обеспечить в течение не более 20 часов откачку максимального ожидаемого суточного притока воды. Установка должна иметь резервные насосы с суммарной производительностью, равной 20–25 процентам рабочих насосов.</w:t>
      </w:r>
    </w:p>
    <w:p>
      <w:pPr>
        <w:spacing w:line="240" w:lineRule="auto"/>
        <w:rPr>
          <w:rFonts w:hAnsi="Times New Roman" w:cs="Times New Roman"/>
          <w:color w:val="000000"/>
          <w:sz w:val="24"/>
          <w:szCs w:val="24"/>
        </w:rPr>
      </w:pPr>
      <w:r>
        <w:rPr>
          <w:rFonts w:hAnsi="Times New Roman" w:cs="Times New Roman"/>
          <w:color w:val="000000"/>
          <w:sz w:val="24"/>
          <w:szCs w:val="24"/>
        </w:rPr>
        <w:t>5.2.5. Обсадные трубы скважины, подрабатываемой карьером, должны своевременно срезаться и надежно перекрываться.</w:t>
      </w:r>
    </w:p>
    <w:p>
      <w:pPr>
        <w:spacing w:line="240" w:lineRule="auto"/>
        <w:rPr>
          <w:rFonts w:hAnsi="Times New Roman" w:cs="Times New Roman"/>
          <w:color w:val="000000"/>
          <w:sz w:val="24"/>
          <w:szCs w:val="24"/>
        </w:rPr>
      </w:pPr>
      <w:r>
        <w:rPr>
          <w:rFonts w:hAnsi="Times New Roman" w:cs="Times New Roman"/>
          <w:color w:val="000000"/>
          <w:sz w:val="24"/>
          <w:szCs w:val="24"/>
        </w:rPr>
        <w:t>5.2.6. Стационарные водоотливные установки в районах с отрицательной температурой воздуха должны быть утеплены перед зимним периодом.</w:t>
      </w:r>
    </w:p>
    <w:p>
      <w:pPr>
        <w:spacing w:line="240" w:lineRule="auto"/>
        <w:rPr>
          <w:rFonts w:hAnsi="Times New Roman" w:cs="Times New Roman"/>
          <w:color w:val="000000"/>
          <w:sz w:val="24"/>
          <w:szCs w:val="24"/>
        </w:rPr>
      </w:pPr>
      <w:r>
        <w:rPr>
          <w:rFonts w:hAnsi="Times New Roman" w:cs="Times New Roman"/>
          <w:color w:val="000000"/>
          <w:sz w:val="24"/>
          <w:szCs w:val="24"/>
        </w:rPr>
        <w:t>5.2.7. При организации водоотлива дренажными шахтами устья дренажно-вентиляционных скважин должны быть обсажены перфорированными трубами, выступающими над подошвой уступа на высоту 1 м, трубы должны быть окрашены в яркий цвет и на них должны быть нанесены номера скважин, а устье трубы должно быть перекрыто металлической сеткой.</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приспособлений, инструмента, а также при возникновении иных условий, угрожающих жизни и здоровью работников,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перекрыть подачу газа в баллоне;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опасности взрыва покинуть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следует в установленном порядке вызвать пожарную охрану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необходимо собрать несгоревшую оплетку огнепроводного шнура, зажигательных и контрольных трубок и вместе с бумажной тарой из-под ВМ сжечь в специально отведенном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рабочую зону.</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оснастку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7.3.3. Взрывник, на имя которого выписана наряд-путевка, и руководитель работ должны подтвердить своей подписью в наряде-путевке фактический расход взрывчатых материалов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7.3.4. Остатки ВМ, а также наряды-путевки по окончании рабочей смены взрывниками лично должны быть сданы на склады ВМ (раздаточные камеры, участковые пункты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7.3.5. Наряд-путевка является на складе основанием для записи выданных ВМ в книгу учета выдачи и возврата взрывчатых материалов, а заполненная после окончания работы – для списания их в книге учета прихода и расхода взрывчатых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09dd7a9330f44f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