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УТВЕРЖДАЮ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</w:t>
      </w:r>
    </w:p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СОГЛАСОВАНО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3159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1534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624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0"/>
        </w:trPr>
        <w:tc>
          <w:tcPr>
            <w:tcW w:w="1985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315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15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1985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</w:t>
            </w:r>
          </w:p>
        </w:tc>
        <w:tc>
          <w:tcPr>
            <w:tcW w:w="315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  <w:tc>
          <w:tcPr>
            <w:tcW w:w="15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1985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315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</w:t>
            </w:r>
          </w:p>
        </w:tc>
        <w:tc>
          <w:tcPr>
            <w:tcW w:w="15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1985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315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15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62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 ПРОВЕДЕНИЮ КОНТРОЛЯ ЗАПЫЛЕННОСТИ И ЗАГАЗОВАННОСТИ ВОЗДУХА ПРОИЗВОДСТВЕННЫХ ПОМЕЩЕНИЙ СТАЦИОНАРНЫМИ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 ПЕРЕНОСНЫМИ ПРИБОРАМИ В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РАЗРАБОТАНО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ФИО</w:t>
            </w:r>
          </w:p>
        </w:tc>
        <w:tc>
          <w:tcPr>
            <w:tcW w:w="3159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Должность</w:t>
            </w:r>
          </w:p>
        </w:tc>
        <w:tc>
          <w:tcPr>
            <w:tcW w:w="1534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444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</w:t>
            </w:r>
          </w:p>
        </w:tc>
      </w:tr>
      <w:tr>
        <w:trPr>
          <w:trHeight w:val="0"/>
        </w:trPr>
        <w:tc>
          <w:tcPr>
            <w:tcW w:w="1985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315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153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144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</w:tbl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Настоящая инструкция разработана на основании Приказа Ростехнадзора от 28.10.2020 № 428 «Об утверждении Федеральных норм и правил в области промышленной безопасности Правила безопасности при переработке, обогащении и брикетировании углей» (далее – Правила) и распространяется на все подразделения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2. Требования к проведению контроля за содержанием пыли и газов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Контроль за содержанием пыли и газов должен осуществляться стационарными и переносными приборами.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2.2. Во всех подразделениях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не реже одного раза в месяц должен проводиться отбор проб воздуха на запыленность и загазованность в зоне пребывания работников. Отбор и разделка проб воздуха работниками ПАСС(Ф) или испытательной лабораторией специализированных организаций должна проводиться при работе оборудования в установившемся технологическом режиме.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2.3. Во всех подразделениях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не реже одного раза в год должно проводиться определение содержания в пыли свободного диоксида кремния. При каждом изменении сырьевой базы должно проводиться определение содержания в пыли свободного диоксида кремния.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2.4. Результаты измерений запыленности воздуха регистрируются в журнале результатов измерений запыленности воздуха (Приложение № 1).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Допускается ведение журнала результатов измерений запыленности воздуха в виде электронного документа. При этом должна быть обеспечена сохранность вносимой информации и исключена возможность ее изменения и уничтожения.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2.5. Содержание метана, оксида и диоксида углерода в воздухе производственных помещений фабрики замеряется два раза в смену. Результаты замеров заносятся в журнал результатов измерений содержания метана, оксида и диоксида углерода (Приложение №2).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местах замера метана, оксида и диоксида углерода должны размещаться специальные таблицы (далее – доска измерений газов), в которых записываются дата и время замера, содержание метана, оксида и диоксида углерода в воздухе.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действующих системах АГК содержания метана, оксида и диоксида углерода замер газов переносными приборами проводят ответственные за измерения один раз в месяц. Результаты замеров переносными приборами (один раз в месяц) и по приборам АГК (два раза в смену) заносятся ответственными за измерения в журнал результатов измерений содержания метана, оксида и диоксида углерода.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Допускается ведение журнала результатов измерений содержания метана, оксида и диоксида углерода в виде электронного документа. При этом должна быть обеспечена сохранность вносимой информации и исключена возможность ее изменения и уничтожения.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2.6. При содержании в воздухе производственных помещений: метана 1% и более; оксида углерода 0,0017% и более; диоксида углерода 0,5% и более, должны быть прекращены все работы и приняты меры по проветриванию загазованного производственного помещения.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3. Системы защиты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 Во всех подразделениях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система АГК при превышении содержания метана в надбункерных помещениях более 1% должна обеспечивать: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отключение технологического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отключение системы освещения производственного помещения;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включение аварийной системы освещения, обеспечивающей не менее 5% освещенности (аварийное освещение должно быть выполнено во взрывозащищенном исполнении);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включение системы аварийной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Определение содержания токсичных веществ в воздухе производственных помещений корпусов обогащения, обезвоживания и сушки, отделения приема и погрузки угля, угольных складов должно осуществляться одновременно с периодическим контролем содержания вредных веществ в воздухе.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в воздухе вредных газов в концентрациях, превышающих ПДК, должны быть приняты меры по ликвидации загазованности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В отделениях флотации фабрики, на складах флотореагентов, реагентных отделениях для контроля содержания токсичных веществ должны быть предусмотрены средства автоматического непрерывного АГК и анализа с сигнализацией, срабатывающей при достижении ПДК с выдачей сигналов в систему АГК с отображением и фиксацией информации на пульте в диспетчерской фабрики.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складах флотореагентов необходимо предусматривать световую и звуковую сигнализацию о загазованности воздушной среды: у входных дверей – снаружи для предупреждения работников об опасности, внутри помещения в рабочих зонах.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4. Замеры запыленности воздуха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Замеры запыленности воздуха должны осуществляться в следующих точках: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корпус углеподготовки, рабочие места (площадки):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дробилки;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грохоты сухой и контрольной классификации рядового угля;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течки пересыпы угля с конвейера на конвейер;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корпус обогащения: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грохоты сухой и контрольной классификации;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течки пересыпы угля с конвейера на конвейер;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аппараты пневматических методов обогащения;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аккумулирующие бункеры;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отделение погрузки: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конвейеры транспортировки угля;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загрузочные течки к аккумулирующим бункерам продуктов обогащения.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5. Замеры загазованности воздуха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Замеры загазованности воздуха осуществляются в следующих местах: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корпус обогащения: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склад флотореагентов;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аппараты кондиционирования (подготовки) угольной пульпы;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флотационные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корпус сушки: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конвейеры выдачи высушенного угля;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разгрузочные течки аппаратов сухого пылеулавливания;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конвейеры и течки раздачи топлива в топливные бункеры;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течки выгрузки шлака и золы в агрегат гашения золы и шлака;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нагнетательные патрубки дымососов;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аккумулирующие бункеры исходного угля;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шиберы борова и растопочной трубы в моменты проведения плановой или аварийной остановки СУ;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течки выгрузки шлака и золы в агрегат гашения золы и шлака;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люки, неплотности аппарата мокрого пылеулавливания;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разводка и обвязка газообразного топлива к камерным топкам СУ;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отделение углеприема: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надбункерные помещения;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бункеры;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отделение погрузки: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надбункерные помещения;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бункеры;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конвейеры транспортировки угля;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загрузочные течки к аккумулирующим бункерам продуктов обогащения;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помещения подземной части укрытого склада.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5.2. Периодичность и места проведения замеров воздуха на запыленность и загазованность определяет главный инженер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5.3. Места установки датчиков контроля содержания метана определяются проектной документацией. Во всех подразделениях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места установки датчиков контроля содержания метана определяются на основании определения мест возможного скопления метана и контрольных замеров загазованности воздуха, выполненных специализированной организацией.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Содержания метана в местах возможного скопления в производственных помещениях должно дистанционно контролироваться с помощью стационарных приборов контроля загазованности воздуха, входящих в систему АГК.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6. Меры безопасности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Запрещается работа машин и механизмов при отсутствии или неисправности средств пылеподавления.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Для предупреждения случаев загрязнения атмосферы газами, продуктами горения угольных складов должны проводиться профилактические мероприятия, а при возникновении пожаров – мероприятия по их ликвидации.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Смотровые колодцы и скважины насосных станций по откачке производственных сточных вод должны быть закрыты.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Спуск работников в колодцы для проведения ремонтных работ должен осуществляться после выпуска воды, их проветривания и замера содержания вредных газов по наряду-допуску в присутствии мастера или бригадира и не менее двух человек, находящихся у люка и наблюдающих за работниками внизу. При обнаружении в колодцах (скважинах) вредных газов работы должны выполняться с использованием СИЗОД изолирующего типа.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 Работы по контролю за соблюдением ПГР во всех подразделениях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 xml:space="preserve"> должны включать: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организационные мероприятия в соответствии с требованиями Правил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- оценку эффективности действующих и разработку дополнительных технических мероприятий по борьбе с пылью, в том числе мероприятий по комплексному обеспыливанию во всех подразделениях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определение времени накопления взрывоопасного количества отложений угольной пыли на поверхность строительных конструкций, воздуховодов систем вентиляции, аспирации и оборудования (в летний и зимний период) и проведение пылевзрывозащитных мероприятий в соответствии с приложением № 3;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ежемесячный контроль запыленности и загазованности производственных помещений;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ежесменный контроль содержания метана в местах возможного его скопления;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уборку пыли в производственных помещениях в соответствии с приложением № 3;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проведение ремонтов, контроль за исправностью и эффективностью пылеулавливающих, вентиляционных систем и установок газоочистки в соответствии с графиком плана производства работ и при аварийных отказах, а также контроль за работой стационарных газоанализаторов.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 На фабрике должен быть организован и обеспечиваться контроль за выполнением требований ПГР.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Работники, ответственные за измерения запыленности и загазованности воздуха в производственных помещениях, должны проходить соответствующую подготовку или специальное обучение.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6.6. Содержание, объем и порядок выполнения работ по пылеуборке и ликвидации загазованности на каждом рабочем месте устанавливаются производственной инструкцией или инструкцией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6.7. На фабриках, где установлен ПГР, должен быть организован ежесменный контроль за содержанием метана, пыли, CO и CO</w:t>
      </w:r>
      <w:r>
        <w:rPr>
          <w:rFonts w:hAnsi="Times New Roman" w:cs="Times New Roman"/>
          <w:color w:val="000000"/>
          <w:sz w:val="19"/>
          <w:szCs w:val="19"/>
          <w:vertAlign w:val="subscript"/>
        </w:rPr>
        <w:t>2</w:t>
      </w:r>
      <w:r>
        <w:rPr>
          <w:rFonts w:hAnsi="Times New Roman" w:cs="Times New Roman"/>
          <w:color w:val="000000"/>
          <w:sz w:val="24"/>
          <w:szCs w:val="24"/>
        </w:rPr>
        <w:t xml:space="preserve"> в воздухе помещений и отложением пыли в помещениях.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Приложение № 1 ЖУРНАЛ результатов измерений запыленности воздуха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__________________________________________</w:t>
      </w:r>
    </w:p>
    <w:tbl>
      <w:tblPr>
        <w:tblW w:w="8395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17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проведения измерений</w:t>
            </w:r>
          </w:p>
        </w:tc>
        <w:tc>
          <w:tcPr>
            <w:tcW w:w="1175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Место проведения измерений</w:t>
            </w:r>
          </w:p>
        </w:tc>
        <w:tc>
          <w:tcPr>
            <w:tcW w:w="1175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Содержание пыли в воздухе, мг/м3</w:t>
            </w:r>
          </w:p>
        </w:tc>
        <w:tc>
          <w:tcPr>
            <w:tcW w:w="1511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 пылеподавлению и срок их выполнения</w:t>
            </w:r>
          </w:p>
        </w:tc>
        <w:tc>
          <w:tcPr>
            <w:tcW w:w="1343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Фамилия, имя, отчество (при наличии) и подпись ответственного за контроль</w:t>
            </w:r>
          </w:p>
        </w:tc>
        <w:tc>
          <w:tcPr>
            <w:tcW w:w="1259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Фамилия, имя, отчество (при наличии) и подпись руководителя производства (цеха)</w:t>
            </w:r>
          </w:p>
        </w:tc>
      </w:tr>
      <w:tr>
        <w:trPr>
          <w:trHeight w:val="0"/>
        </w:trPr>
        <w:tc>
          <w:tcPr>
            <w:tcW w:w="1175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17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17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51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34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25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</w:tr>
      <w:tr>
        <w:trPr>
          <w:trHeight w:val="0"/>
        </w:trPr>
        <w:tc>
          <w:tcPr>
            <w:tcW w:w="1175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7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7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1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4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5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175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7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7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1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4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5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175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7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7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1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4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5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175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7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7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1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4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5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175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7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7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51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4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59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Приложение № 2 ЖУРНАЛ результатов измерений содержания метана,оксида и диоксида углерода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Организация 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Дата «__» _________ 20__ 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Результаты измерений содержания метана, оксида углерода и диоксида углерода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1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1354" w:type="dxa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бункеров, помещений</w:t>
            </w:r>
          </w:p>
        </w:tc>
        <w:tc>
          <w:tcPr>
            <w:tcW w:w="992" w:type="dxa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измерения, смена</w:t>
            </w:r>
          </w:p>
        </w:tc>
        <w:tc>
          <w:tcPr>
            <w:tcW w:w="1444" w:type="dxa"/>
            <w:gridSpan w:val="3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Содержание, %</w:t>
            </w:r>
          </w:p>
        </w:tc>
        <w:tc>
          <w:tcPr>
            <w:tcW w:w="1173" w:type="dxa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Фамилия, имя, отчество (при наличии) и подпись измерявшего</w:t>
            </w:r>
          </w:p>
        </w:tc>
        <w:tc>
          <w:tcPr>
            <w:tcW w:w="1263" w:type="dxa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Фамилия, имя, отчество (при наличии) и подпись руководителя производства (цеха)</w:t>
            </w:r>
          </w:p>
        </w:tc>
        <w:tc>
          <w:tcPr>
            <w:tcW w:w="1624" w:type="dxa"/>
            <w:vMerge w:val="restart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Примечание (тип газоанализаторов, количество измерений)</w:t>
            </w:r>
          </w:p>
        </w:tc>
      </w:tr>
      <w:tr>
        <w:trPr>
          <w:trHeight w:val="0"/>
        </w:trPr>
        <w:tc>
          <w:tcPr>
            <w:tcW w:w="361" w:type="dxa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3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метана</w:t>
            </w:r>
          </w:p>
        </w:tc>
        <w:tc>
          <w:tcPr>
            <w:tcW w:w="36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CO</w:t>
            </w:r>
          </w:p>
        </w:tc>
        <w:tc>
          <w:tcPr>
            <w:tcW w:w="36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CO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bscript"/>
              </w:rPr>
              <w:t>2</w:t>
            </w:r>
          </w:p>
        </w:tc>
        <w:tc>
          <w:tcPr>
            <w:tcW w:w="1173" w:type="dxa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3" w:type="dxa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24" w:type="dxa"/>
            <w:vMerge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36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36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36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11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126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162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</w:tr>
      <w:tr>
        <w:trPr>
          <w:trHeight w:val="0"/>
        </w:trPr>
        <w:tc>
          <w:tcPr>
            <w:tcW w:w="36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3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6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6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2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36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3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6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6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2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36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3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6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6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2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36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3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6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6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2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361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63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6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61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7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26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2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Приложение № 3 ПРОВЕДЕНИЕ ПЫЛЕВЗРЫВОЗАЩИТНЫХ МЕРОПРИЯТИЙ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 Для всех технологических помещений, связанных с образованием и отложением пыли, составляются графики проведения пылевзрывозащитных мероприятий (летом и зимой).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 Мероприятия по пылевзрывозащите помещений включают: пневмоуборку угольной пыли, мокрую уборку (смыв) угольной пыли, побелку, осланцевание.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 Выбор мероприятий по обеспечению пылевзрывозащиты осуществляется для каждого конкретного цеха исходя из условий технологического процесса, величины пылеотложения, значения НПВ отложившейся пыли и климатических условий (температура и влажность воздуха) защищаемого объекта (таблица № 1).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Таблица № 1 - Мероприятия по уборке пыли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354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</w:t>
            </w:r>
          </w:p>
        </w:tc>
        <w:tc>
          <w:tcPr>
            <w:tcW w:w="2798" w:type="dxa"/>
            <w:gridSpan w:val="2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Температура воздуха в помещении</w:t>
            </w:r>
          </w:p>
        </w:tc>
        <w:tc>
          <w:tcPr>
            <w:tcW w:w="4152" w:type="dxa"/>
            <w:gridSpan w:val="3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Влажность, %</w:t>
            </w:r>
          </w:p>
        </w:tc>
      </w:tr>
      <w:tr>
        <w:trPr>
          <w:trHeight w:val="0"/>
        </w:trPr>
        <w:tc>
          <w:tcPr>
            <w:tcW w:w="1354" w:type="dxa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положительная</w:t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отрицательная</w:t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80 - 100</w:t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60 - 80</w:t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Менее 60</w:t>
            </w:r>
          </w:p>
        </w:tc>
      </w:tr>
      <w:tr>
        <w:trPr>
          <w:trHeight w:val="0"/>
        </w:trPr>
        <w:tc>
          <w:tcPr>
            <w:tcW w:w="1354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</w:tr>
      <w:tr>
        <w:trPr>
          <w:trHeight w:val="0"/>
        </w:trPr>
        <w:tc>
          <w:tcPr>
            <w:tcW w:w="1354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Пневмоуборка</w:t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–</w:t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+</w:t>
            </w:r>
          </w:p>
        </w:tc>
      </w:tr>
      <w:tr>
        <w:trPr>
          <w:trHeight w:val="0"/>
        </w:trPr>
        <w:tc>
          <w:tcPr>
            <w:tcW w:w="1354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Мокрая уборка (смыв)</w:t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–</w:t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+</w:t>
            </w:r>
          </w:p>
        </w:tc>
      </w:tr>
      <w:tr>
        <w:trPr>
          <w:trHeight w:val="0"/>
        </w:trPr>
        <w:tc>
          <w:tcPr>
            <w:tcW w:w="1354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Побелка</w:t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–</w:t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+</w:t>
            </w:r>
          </w:p>
        </w:tc>
      </w:tr>
      <w:tr>
        <w:trPr>
          <w:trHeight w:val="0"/>
        </w:trPr>
        <w:tc>
          <w:tcPr>
            <w:tcW w:w="1354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Осланцевание</w:t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+</w:t>
            </w:r>
          </w:p>
        </w:tc>
        <w:tc>
          <w:tcPr>
            <w:tcW w:w="135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+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Рекомендуемые мероприятия обозначены знаком "+".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 Взрывоопасность того или иного помещения определяется по времени накопления опасного количества пыли исходя из условий концентрации и интенсивности оседания угольной пыли.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 условной концентрацией пыли понимается количество осевшей угольной пыли, приходящейся на единицу объема помещения. Количественное выражение взрывоопасной условной концентрации является пределом взрывчатости отложившейся пыли. Предельно допустимое количество угольной пыли в производственных помещениях фабрики рассчитывается исходя из установленного значения НПВ угольной пыли и объема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 Взрывоопасность помещения определяется из условий накопления в помещении предельного количества пыли и значения НПВ отложившейся угольной пыли: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Р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=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d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V</w:t>
      </w:r>
      <w:r>
        <w:rPr>
          <w:rFonts w:hAnsi="Times New Roman" w:cs="Times New Roman"/>
          <w:color w:val="000000"/>
          <w:sz w:val="24"/>
          <w:szCs w:val="24"/>
        </w:rPr>
        <w:t xml:space="preserve"> 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где: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P пред – предельно допустимое накопление пыли в помещении, 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d – НПВ отложившейся угольной пыли, г/м3;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Vобщ – общий объем взрывоопасного помещения, м3.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Общий объем включает объем помещения Vпом за вычетом объемов оборудования Vоб и колонн Vкол, находящихся в помещении: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Vобщ = Vпом – Vоб – Vкол.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Суточная интенсивность пылеотложения определяется взвешиванием трех стеклянных пластинок размером 6 x 9 см, устанавливаемых горизонтально в помещении на расстоянии 3 м от источника пылеобразования. Через сутки пластинки взвешиваются на аналитических весах, определяется суточное пылеотложение с учетом коэффициентов, приведенных в таблице № 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Таблица № 2 - Значение коэффициента K при расчете суточного пылеотложения на поверхности в зависимости от покрытия поверхности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624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Поверхность помещения</w:t>
            </w:r>
          </w:p>
        </w:tc>
        <w:tc>
          <w:tcPr>
            <w:tcW w:w="6770" w:type="dxa"/>
            <w:gridSpan w:val="4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Значения коэффициента K при</w:t>
            </w:r>
          </w:p>
        </w:tc>
      </w:tr>
      <w:tr>
        <w:trPr>
          <w:trHeight w:val="0"/>
        </w:trPr>
        <w:tc>
          <w:tcPr>
            <w:tcW w:w="1624" w:type="dxa"/>
            <w:vMerge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2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побелке</w:t>
            </w:r>
          </w:p>
        </w:tc>
        <w:tc>
          <w:tcPr>
            <w:tcW w:w="162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покраске</w:t>
            </w:r>
          </w:p>
        </w:tc>
        <w:tc>
          <w:tcPr>
            <w:tcW w:w="162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облицовке плитой</w:t>
            </w:r>
          </w:p>
        </w:tc>
        <w:tc>
          <w:tcPr>
            <w:tcW w:w="162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металлическом покрытии</w:t>
            </w:r>
          </w:p>
        </w:tc>
      </w:tr>
      <w:tr>
        <w:trPr>
          <w:trHeight w:val="0"/>
        </w:trPr>
        <w:tc>
          <w:tcPr>
            <w:tcW w:w="1624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162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162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162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162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</w:tr>
      <w:tr>
        <w:trPr>
          <w:trHeight w:val="0"/>
        </w:trPr>
        <w:tc>
          <w:tcPr>
            <w:tcW w:w="1624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K1 – пол</w:t>
            </w:r>
          </w:p>
        </w:tc>
        <w:tc>
          <w:tcPr>
            <w:tcW w:w="162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1,0</w:t>
            </w:r>
          </w:p>
        </w:tc>
        <w:tc>
          <w:tcPr>
            <w:tcW w:w="162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1,0</w:t>
            </w:r>
          </w:p>
        </w:tc>
        <w:tc>
          <w:tcPr>
            <w:tcW w:w="162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1,0</w:t>
            </w:r>
          </w:p>
        </w:tc>
        <w:tc>
          <w:tcPr>
            <w:tcW w:w="162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1,0</w:t>
            </w:r>
          </w:p>
        </w:tc>
      </w:tr>
      <w:tr>
        <w:trPr>
          <w:trHeight w:val="0"/>
        </w:trPr>
        <w:tc>
          <w:tcPr>
            <w:tcW w:w="1624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K2 – стены</w:t>
            </w:r>
          </w:p>
        </w:tc>
        <w:tc>
          <w:tcPr>
            <w:tcW w:w="162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0,35</w:t>
            </w:r>
          </w:p>
        </w:tc>
        <w:tc>
          <w:tcPr>
            <w:tcW w:w="162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  <w:tc>
          <w:tcPr>
            <w:tcW w:w="162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0,20</w:t>
            </w:r>
          </w:p>
        </w:tc>
        <w:tc>
          <w:tcPr>
            <w:tcW w:w="162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0,20</w:t>
            </w:r>
          </w:p>
        </w:tc>
      </w:tr>
      <w:tr>
        <w:trPr>
          <w:trHeight w:val="0"/>
        </w:trPr>
        <w:tc>
          <w:tcPr>
            <w:tcW w:w="1624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K3 – потолок</w:t>
            </w:r>
          </w:p>
        </w:tc>
        <w:tc>
          <w:tcPr>
            <w:tcW w:w="162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0,15</w:t>
            </w:r>
          </w:p>
        </w:tc>
        <w:tc>
          <w:tcPr>
            <w:tcW w:w="162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0,10</w:t>
            </w:r>
          </w:p>
        </w:tc>
        <w:tc>
          <w:tcPr>
            <w:tcW w:w="162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0,07</w:t>
            </w:r>
          </w:p>
        </w:tc>
        <w:tc>
          <w:tcPr>
            <w:tcW w:w="162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0,10</w:t>
            </w:r>
          </w:p>
        </w:tc>
      </w:tr>
      <w:tr>
        <w:trPr>
          <w:trHeight w:val="0"/>
        </w:trPr>
        <w:tc>
          <w:tcPr>
            <w:tcW w:w="1624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K4 – оборудование</w:t>
            </w:r>
          </w:p>
        </w:tc>
        <w:tc>
          <w:tcPr>
            <w:tcW w:w="162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0,35</w:t>
            </w:r>
          </w:p>
        </w:tc>
        <w:tc>
          <w:tcPr>
            <w:tcW w:w="162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  <w:tc>
          <w:tcPr>
            <w:tcW w:w="162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–</w:t>
            </w:r>
          </w:p>
        </w:tc>
        <w:tc>
          <w:tcPr>
            <w:tcW w:w="162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1624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K5 – колонны</w:t>
            </w:r>
          </w:p>
        </w:tc>
        <w:tc>
          <w:tcPr>
            <w:tcW w:w="162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0,35</w:t>
            </w:r>
          </w:p>
        </w:tc>
        <w:tc>
          <w:tcPr>
            <w:tcW w:w="162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  <w:tc>
          <w:tcPr>
            <w:tcW w:w="162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0,20</w:t>
            </w:r>
          </w:p>
        </w:tc>
        <w:tc>
          <w:tcPr>
            <w:tcW w:w="162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0,20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 Суточное пылеотложение, г/сут, определяется по формуле: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P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=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K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S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M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,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F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T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где: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K – соответствующий коэффициент;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S – площадь стен, потолка, колонн и оборудования, м</w:t>
      </w:r>
      <w:r>
        <w:rPr>
          <w:rFonts w:hAnsi="Times New Roman" w:cs="Times New Roman"/>
          <w:color w:val="000000"/>
          <w:sz w:val="19"/>
          <w:szCs w:val="19"/>
          <w:vertAlign w:val="superscript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M – масса навески на пластинке, г;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F – площадь пластинки, м</w:t>
      </w:r>
      <w:r>
        <w:rPr>
          <w:rFonts w:hAnsi="Times New Roman" w:cs="Times New Roman"/>
          <w:color w:val="000000"/>
          <w:sz w:val="19"/>
          <w:szCs w:val="19"/>
          <w:vertAlign w:val="superscript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T – время измерения, сут.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8. Во всех взрывоопасных помещениях периодичность смыва или пневмоуборки полов устанавливается один раз в смену.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9. В неотапливаемых помещениях должны производиться пневмоуборка полов или осланцевание с такой же периодичностью.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 Периодичность уборки пыли со стен, потолков и оборудования устанавливается по времени накопления взрывоопасного количества пыли, рассчитываемого по формуле: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T= K</w:t>
      </w:r>
      <w:r>
        <w:rPr>
          <w:rFonts w:hAnsi="Times New Roman" w:cs="Times New Roman"/>
          <w:b/>
          <w:bCs/>
          <w:color w:val="000000"/>
          <w:sz w:val="19"/>
          <w:szCs w:val="19"/>
          <w:vertAlign w:val="subscript"/>
        </w:rPr>
        <w:t>CH4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P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,</w:t>
      </w:r>
      <w:r>
        <w:br/>
      </w:r>
      <w:r>
        <w:rPr>
          <w:rFonts w:hAnsi="Times New Roman" w:cs="Times New Roman"/>
          <w:b/>
          <w:bCs/>
          <w:color w:val="000000"/>
          <w:sz w:val="24"/>
          <w:szCs w:val="24"/>
        </w:rPr>
        <w:t>P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г</w:t>
      </w:r>
      <w:r>
        <w:rPr>
          <w:rFonts w:hAnsi="Times New Roman" w:cs="Times New Roman"/>
          <w:color w:val="000000"/>
          <w:sz w:val="24"/>
          <w:szCs w:val="24"/>
        </w:rPr>
        <w:t>де: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KCH</w:t>
      </w:r>
      <w:r>
        <w:rPr>
          <w:rFonts w:hAnsi="Times New Roman" w:cs="Times New Roman"/>
          <w:color w:val="000000"/>
          <w:sz w:val="19"/>
          <w:szCs w:val="19"/>
          <w:vertAlign w:val="subscript"/>
        </w:rPr>
        <w:t>4</w:t>
      </w:r>
      <w:r>
        <w:rPr>
          <w:rFonts w:hAnsi="Times New Roman" w:cs="Times New Roman"/>
          <w:color w:val="000000"/>
          <w:sz w:val="24"/>
          <w:szCs w:val="24"/>
        </w:rPr>
        <w:t xml:space="preserve"> – коэффициент снижения НПВ пыли за счет метановыделения из угля.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Таблица № 3 – Влияние концентрации метана на коэффициент снижения НПВ пыли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26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CH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bscript"/>
              </w:rPr>
              <w:t>4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%</w:t>
            </w:r>
          </w:p>
        </w:tc>
        <w:tc>
          <w:tcPr>
            <w:tcW w:w="1263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1263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  <w:tc>
          <w:tcPr>
            <w:tcW w:w="1263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1,0</w:t>
            </w:r>
          </w:p>
        </w:tc>
        <w:tc>
          <w:tcPr>
            <w:tcW w:w="1263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1,5</w:t>
            </w:r>
          </w:p>
        </w:tc>
        <w:tc>
          <w:tcPr>
            <w:tcW w:w="1263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2,0</w:t>
            </w:r>
          </w:p>
        </w:tc>
      </w:tr>
      <w:tr>
        <w:trPr>
          <w:trHeight w:val="0"/>
        </w:trPr>
        <w:tc>
          <w:tcPr>
            <w:tcW w:w="1263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KCH</w:t>
            </w:r>
            <w:r>
              <w:rPr>
                <w:rFonts w:hAnsi="Times New Roman" w:cs="Times New Roman"/>
                <w:color w:val="000000"/>
                <w:sz w:val="19"/>
                <w:szCs w:val="19"/>
                <w:vertAlign w:val="subscript"/>
              </w:rPr>
              <w:t>4</w:t>
            </w:r>
          </w:p>
        </w:tc>
        <w:tc>
          <w:tcPr>
            <w:tcW w:w="126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1,0</w:t>
            </w:r>
          </w:p>
        </w:tc>
        <w:tc>
          <w:tcPr>
            <w:tcW w:w="126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0,75</w:t>
            </w:r>
          </w:p>
        </w:tc>
        <w:tc>
          <w:tcPr>
            <w:tcW w:w="126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  <w:tc>
          <w:tcPr>
            <w:tcW w:w="126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0,35</w:t>
            </w:r>
          </w:p>
        </w:tc>
        <w:tc>
          <w:tcPr>
            <w:tcW w:w="126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 Периодичность уборки (или смыва пыли) принимается на основании расчета, в соответствии с распоряжением главного инженера, но не реже двух раз в месяц.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 На фабриках, переведенных на комплексное обеспылевание, проверка выполнения периодичности уборки пыли производится комиссией при комплексном обследовании состояния промышленной безопасности.</w:t>
      </w:r>
    </w:p>
    <w:p>
      <w:pPr>
        <w:spacing w:line="600" w:lineRule="atLeast"/>
        <w:rPr>
          <w:b/>
          <w:bCs/>
          <w:color w:val="252525"/>
          <w:spacing w:val="-2"/>
          <w:sz w:val="48"/>
          <w:szCs w:val="48"/>
        </w:rPr>
      </w:pPr>
      <w:r>
        <w:rPr>
          <w:b/>
          <w:bCs/>
          <w:color w:val="252525"/>
          <w:spacing w:val="-2"/>
          <w:sz w:val="48"/>
          <w:szCs w:val="48"/>
        </w:rPr>
        <w:t>Лист ознакомления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 Инструкцией по проведению контроля запыленности и загазованности воздуха производственных помещений стационарными и переносными приборами </w:t>
      </w:r>
      <w:r>
        <w:rPr>
          <w:rFonts w:hAnsi="Times New Roman" w:cs="Times New Roman"/>
          <w:color w:val="000000"/>
          <w:sz w:val="24"/>
          <w:szCs w:val="24"/>
        </w:rPr>
        <w:t>___________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документом ознакомлены: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715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(профессия)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3430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(ФИО)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180" w:type="dxa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992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(дата)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c5b5e38ed96444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