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Производственная инструкция по эксплуатации регуляторов давления газа РДБК</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Параметры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РДБК1-50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РДБК1П-50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РДБК1-100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РДБК1П-100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Регулируемая среда</w:t>
            </w:r>
          </w:p>
        </w:tc>
        <w:tc>
          <w:tcPr>
            <w:tcW w:w="0" w:type="auto"/>
            <w:gridSpan w:val="4"/>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Природный газ по ГОСТ 5542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Максимальное входное давление, МПа, не более</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Диапазон настройки выходного давления, Рвых, МПа</w:t>
            </w:r>
          </w:p>
        </w:tc>
        <w:tc>
          <w:tcPr>
            <w:tcW w:w="0" w:type="auto"/>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1-60</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30-600</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1-60</w:t>
            </w:r>
          </w:p>
        </w:tc>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30-600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Пропускная способность при перепаде давления 0,1 МПа по газу с плотностью p=0,72 кг/м⊃;, м⊃;/ч не менее</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См. таблицу пропускной способности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Неравномерность регулирования, %</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 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Зона пропорциональности, % от Р вых.</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Зона нечувствительности, % от Р вых</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Диаметр седла, мм</w:t>
            </w:r>
          </w:p>
        </w:tc>
        <w:tc>
          <w:tcPr>
            <w:tcW w:w="0" w:type="auto"/>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25, 35</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25, 35</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50, 70</w:t>
            </w:r>
          </w:p>
        </w:tc>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50, 70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Габаритные размеры ,мм, не более</w:t>
            </w:r>
          </w:p>
        </w:tc>
        <w:tc>
          <w:tcPr>
            <w:tcW w:w="0" w:type="auto"/>
            <w:gridSpan w:val="4"/>
            <w:tcBorders>
              <w:top w:val="none" w:color="000000" w:sz="0"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строительная длина</w:t>
            </w:r>
          </w:p>
        </w:tc>
        <w:tc>
          <w:tcPr>
            <w:tcW w:w="0" w:type="auto"/>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230</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230</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350</w:t>
            </w:r>
          </w:p>
        </w:tc>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ширина</w:t>
            </w:r>
          </w:p>
        </w:tc>
        <w:tc>
          <w:tcPr>
            <w:tcW w:w="0" w:type="auto"/>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466</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466</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537</w:t>
            </w:r>
          </w:p>
        </w:tc>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520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высота</w:t>
            </w:r>
          </w:p>
        </w:tc>
        <w:tc>
          <w:tcPr>
            <w:tcW w:w="0" w:type="auto"/>
            <w:tcBorders>
              <w:top w:val="none" w:color="000000" w:sz="0" w:space="0"/>
              <w:left w:val="single" w:color="000000" w:sz="6"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278</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278</w:t>
            </w:r>
          </w:p>
        </w:tc>
        <w:tc>
          <w:tcPr>
            <w:tcW w:w="0" w:type="auto"/>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450</w:t>
            </w:r>
          </w:p>
        </w:tc>
        <w:tc>
          <w:tcPr>
            <w:tcW w:w="0" w:type="auto"/>
            <w:tcBorders>
              <w:top w:val="none" w:color="000000" w:sz="0"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450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Масса, кг, не более</w:t>
            </w:r>
          </w:p>
        </w:tc>
        <w:tc>
          <w:tcPr>
            <w:tcW w:w="0" w:type="auto"/>
            <w:tcBorders>
              <w:top w:val="none" w:color="000000" w:sz="0" w:space="0"/>
              <w:left w:val="single" w:color="000000" w:sz="6"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39</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36</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90</w:t>
            </w:r>
          </w:p>
        </w:tc>
      </w:tr>
    </w:tbl>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Значение</w:t>
            </w:r>
            <w:r>
              <w:br/>
            </w:r>
            <w:r>
              <w:rPr>
                <w:rFonts w:hAnsi="Times New Roman" w:cs="Times New Roman"/>
                <w:b/>
                <w:bCs/>
                <w:color w:val="000000"/>
                <w:sz w:val="24"/>
                <w:szCs w:val="24"/>
              </w:rPr>
              <w:t>Рвых. МПа.</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Наибольшая пропускная способность Qнаиб. м⊃;/час</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РДБК1-50-25 РДБК1П-50-25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РДБК1-50-35 РДБК1П-50-35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РДБК1-100-50 РДБК1П-100-50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РДБК1-100-70 РДБК1П-100-70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0,05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216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630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1025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2050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320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1408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2816</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2127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4254</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546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1816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2836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5672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745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2270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4286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8571</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890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2724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5743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11485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1032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3178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6700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13400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1190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3632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7657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15313</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1330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8614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17227</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0,9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1485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4541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9570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19140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1630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4995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10528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21056</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1785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5736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11450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22900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2133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6500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12442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24884</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Устройство и принцип работы</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давления газа изготавливается в двух исполнениях РДБК1 в соответствии с рис.1 и РДБК1П в соответствии с рис.2.</w:t>
      </w:r>
    </w:p>
    <w:p>
      <w:pPr>
        <w:spacing w:line="240" w:lineRule="auto"/>
        <w:rPr>
          <w:rFonts w:hAnsi="Times New Roman" w:cs="Times New Roman"/>
          <w:color w:val="000000"/>
          <w:sz w:val="24"/>
          <w:szCs w:val="24"/>
        </w:rPr>
      </w:pPr>
      <w:r>
        <w:rPr>
          <w:rFonts w:hAnsi="Times New Roman" w:cs="Times New Roman"/>
          <w:color w:val="000000"/>
          <w:sz w:val="24"/>
          <w:szCs w:val="24"/>
        </w:rPr>
        <w:t>Регулирующий клапан регулятора имеет фланцевый корпус вентильного типа. Седло клапана сменное. К нижней части корпуса крепится мембранный привод. В центральное гнездо тарелки упирается толкатель, а в него шток клапана, передающий вертикальное перемещение тарелки мембраны клапану регулятора. Шток перемещается во втулках направляющей колонки корпуса, на верхнем конце штока свободно сидит клапан с резиновым уплотнителем. Сверху корпус закрыт крышкой. В верхней и нижней крышках регулирующих клапанов установлены регулируемые дроссели. Регулятор управления прямого действия создает при работе постоянный перепад давлений на регуляторе управления низкого давления, что делает работу регулятора малозависимой от колебаний входного давления. Регулятор управления низкого давления является командным прибором. Регулятор управления поддерживает постоянное давление за регулятором посредством поддержания постоянного давления в мембранной камере регулирующего клапана. Регулируемые дроссели служат для настройки на спокойную (без автоколебаний) работу регулятора без его отключения. Регулируемый дроссель включает корпус, иглу с прорезью и пробку. Дроссель из надмембранной камеры регулирующего клапана служит для поднастройки регулятора при возникновении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в исполнении РДБК1 работает следующим образом. Газ входного давления поступает к регулятору прямого действия 2, а от него к регулятору управления низкого давления 3. От регулятора управления газа через дроссель 7 поступает под мембрану регулирующего клапана и через второй регулируемый дроссель 6 – в надмембранное пространство регулирующего клапана. Надмембранная камера регулирующего клапана 1 и надмембранная камера регулятора управления 3 находятся под воздействием выходного давления. Надмембранная камера регулятора управления через дроссель 8 связана с газопроводом за регулятором. Благодаря непрерывному потоку газа через дроссель 7 давление перед ним, а следовательно, и в подмембранной камере регулирующего клапана всегда больше выходного давления. Перепад давлений на мембране регулирующего клапана образует подъемную силу мембраны, которая при любом установившемся режиме работы регулятора уравновешивается перепадом давления на основном клапане и весом подвижных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 подмембранной камере регулирующего клапана автоматически регулируется клапаном регулятора управления в зависимости от величин расхода газа и входного давления. Усилие выходного давления на мембрану регулятора управления постоянно сравнивается с заданным при настройке усилием нижней пружины. Любое отклонение выходного давления вызывает перемещение мембраны и клапана регулятора управления. При этом меняется расход газа, а следовательно, и давление под мембраной регулирующего клапана. Таким образом, при любом отклонении выходного давления от заданного изменение давления под мембраной регулирующего клапана вызывает перемещение основного клапана в новое равновесное состояние, при котором выходное давление восстанавливается.</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РДБК1П работает следующим образом. Газ входного давления поступает к регулятору управления прямого действия 2. От регулятора управления газ через регулируемый дроссель 6 поступает в подмембранную камеру, а через дроссель 5 – в надмембранную камеру регулирующего клапана. Через дроссель 7 надмембранная камера регулирующего клапана связана с газопроводом за регулятором. Давление в подмембранной камере регулирующего клапана при работе регулятора всегда будет больше выходного давления. Надмембранная камера регулирующего клапана находится под воздействием выходного давления. Благодаря наличию в обвязке регулятора управления прямого действия, поддерживающего собой постоянное давление, давление в подмембранной камере регулирующего клапана также будет постоянным.</w:t>
      </w:r>
    </w:p>
    <w:p>
      <w:pPr>
        <w:spacing w:line="240" w:lineRule="auto"/>
        <w:rPr>
          <w:rFonts w:hAnsi="Times New Roman" w:cs="Times New Roman"/>
          <w:color w:val="000000"/>
          <w:sz w:val="24"/>
          <w:szCs w:val="24"/>
        </w:rPr>
      </w:pPr>
      <w:r>
        <w:rPr>
          <w:rFonts w:hAnsi="Times New Roman" w:cs="Times New Roman"/>
          <w:color w:val="000000"/>
          <w:sz w:val="24"/>
          <w:szCs w:val="24"/>
        </w:rPr>
        <w:t>Любое отклонение выходного давления от заданного вызывает, в свою очередь, перемещение основного клапана в новое равновесное состояние, соответствующее новым значениям входного давления и расхода. При этом восстанавливается выходное давление газа.</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РАЗРАБОТАЛ</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ЛИСТ ОЗНАКОМЛЕНИЯ С ПРОИЗВОДСТВЕННОЙ ИНСТРУКЦИЕЙ ПО ЭКСПЛУАТАЦИИ РЕГУЛЯТОРОВ РДБК</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r>
              <w:rPr>
                <w:rFonts w:hAnsi="Times New Roman" w:cs="Times New Roman"/>
                <w:b/>
                <w:bCs/>
                <w:color w:val="000000"/>
                <w:sz w:val="24"/>
                <w:szCs w:val="24"/>
              </w:rPr>
              <w:t>п</w:t>
            </w:r>
            <w:r>
              <w:rPr>
                <w:rFonts w:hAnsi="Times New Roman" w:cs="Times New Roman"/>
                <w:b/>
                <w:bCs/>
                <w:color w:val="000000"/>
                <w:sz w:val="24"/>
                <w:szCs w:val="24"/>
              </w:rPr>
              <w:t>/</w:t>
            </w:r>
            <w:r>
              <w:rPr>
                <w:rFonts w:hAnsi="Times New Roman" w:cs="Times New Roman"/>
                <w:b/>
                <w:bCs/>
                <w:color w:val="000000"/>
                <w:sz w:val="24"/>
                <w:szCs w:val="24"/>
              </w:rPr>
              <w:t>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Ф</w:t>
            </w:r>
            <w:r>
              <w:rPr>
                <w:rFonts w:hAnsi="Times New Roman" w:cs="Times New Roman"/>
                <w:b/>
                <w:bCs/>
                <w:color w:val="000000"/>
                <w:sz w:val="24"/>
                <w:szCs w:val="24"/>
              </w:rPr>
              <w:t>.</w:t>
            </w:r>
            <w:r>
              <w:rPr>
                <w:rFonts w:hAnsi="Times New Roman" w:cs="Times New Roman"/>
                <w:b/>
                <w:bCs/>
                <w:color w:val="000000"/>
                <w:sz w:val="24"/>
                <w:szCs w:val="24"/>
              </w:rPr>
              <w:t>И</w:t>
            </w:r>
            <w:r>
              <w:rPr>
                <w:rFonts w:hAnsi="Times New Roman" w:cs="Times New Roman"/>
                <w:b/>
                <w:bCs/>
                <w:color w:val="000000"/>
                <w:sz w:val="24"/>
                <w:szCs w:val="24"/>
              </w:rPr>
              <w:t>.</w:t>
            </w:r>
            <w:r>
              <w:rPr>
                <w:rFonts w:hAnsi="Times New Roman" w:cs="Times New Roman"/>
                <w:b/>
                <w:bCs/>
                <w:color w:val="000000"/>
                <w:sz w:val="24"/>
                <w:szCs w:val="24"/>
              </w:rPr>
              <w:t>О</w:t>
            </w:r>
            <w:r>
              <w:rPr>
                <w:rFonts w:hAnsi="Times New Roman" w:cs="Times New Roman"/>
                <w:b/>
                <w:bCs/>
                <w:color w:val="000000"/>
                <w:sz w:val="24"/>
                <w:szCs w:val="24"/>
              </w:rPr>
              <w:t xml:space="preserve">. </w:t>
            </w:r>
            <w:r>
              <w:rPr>
                <w:rFonts w:hAnsi="Times New Roman" w:cs="Times New Roman"/>
                <w:b/>
                <w:bCs/>
                <w:color w:val="000000"/>
                <w:sz w:val="24"/>
                <w:szCs w:val="24"/>
              </w:rPr>
              <w:t>работника</w:t>
            </w:r>
            <w:r>
              <w:rPr>
                <w:rFonts w:hAnsi="Times New Roman" w:cs="Times New Roman"/>
                <w:b/>
                <w:bCs/>
                <w:color w:val="000000"/>
                <w:sz w:val="24"/>
                <w:szCs w:val="24"/>
              </w:rPr>
              <w:t xml:space="preserve">, </w:t>
            </w:r>
            <w:r>
              <w:rPr>
                <w:rFonts w:hAnsi="Times New Roman" w:cs="Times New Roman"/>
                <w:b/>
                <w:bCs/>
                <w:color w:val="000000"/>
                <w:sz w:val="24"/>
                <w:szCs w:val="24"/>
              </w:rPr>
              <w:t>ознакомленного</w:t>
            </w:r>
            <w:r>
              <w:br/>
            </w:r>
            <w:r>
              <w:rPr>
                <w:rFonts w:hAnsi="Times New Roman" w:cs="Times New Roman"/>
                <w:b/>
                <w:bCs/>
                <w:color w:val="000000"/>
                <w:sz w:val="24"/>
                <w:szCs w:val="24"/>
              </w:rPr>
              <w:t>с</w:t>
            </w:r>
            <w:r>
              <w:rPr>
                <w:rFonts w:hAnsi="Times New Roman" w:cs="Times New Roman"/>
                <w:b/>
                <w:bCs/>
                <w:color w:val="000000"/>
                <w:sz w:val="24"/>
                <w:szCs w:val="24"/>
              </w:rPr>
              <w:t>Инструкцией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Дата</w:t>
            </w:r>
            <w:r>
              <w:rPr>
                <w:rFonts w:hAnsi="Times New Roman" w:cs="Times New Roman"/>
                <w:b/>
                <w:bCs/>
                <w:color w:val="000000"/>
                <w:sz w:val="24"/>
                <w:szCs w:val="24"/>
              </w:rPr>
              <w:t>ознакомления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Подпись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bfc6a9fea4346c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