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Производственная инструкция по пропуску воды через водосбросные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1. Общая часть.</w:t>
      </w:r>
    </w:p>
    <w:p>
      <w:pPr>
        <w:spacing w:line="240" w:lineRule="auto"/>
        <w:rPr>
          <w:rFonts w:hAnsi="Times New Roman" w:cs="Times New Roman"/>
          <w:color w:val="000000"/>
          <w:sz w:val="24"/>
          <w:szCs w:val="24"/>
        </w:rPr>
      </w:pPr>
      <w:r>
        <w:rPr>
          <w:rFonts w:hAnsi="Times New Roman" w:cs="Times New Roman"/>
          <w:color w:val="000000"/>
          <w:sz w:val="24"/>
          <w:szCs w:val="24"/>
        </w:rPr>
        <w:t>Знание настоящей инструкции обязательно для:</w:t>
      </w:r>
    </w:p>
    <w:p>
      <w:pPr>
        <w:spacing w:line="240" w:lineRule="auto"/>
        <w:rPr>
          <w:rFonts w:hAnsi="Times New Roman" w:cs="Times New Roman"/>
          <w:color w:val="000000"/>
          <w:sz w:val="24"/>
          <w:szCs w:val="24"/>
        </w:rPr>
      </w:pPr>
      <w:r>
        <w:rPr>
          <w:rFonts w:hAnsi="Times New Roman" w:cs="Times New Roman"/>
          <w:color w:val="000000"/>
          <w:sz w:val="24"/>
          <w:szCs w:val="24"/>
        </w:rPr>
        <w:t>- Главного инженера, заместителей главного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 НСС, начальника и заместителя начальника ОС;</w:t>
      </w:r>
    </w:p>
    <w:p>
      <w:pPr>
        <w:spacing w:line="240" w:lineRule="auto"/>
        <w:rPr>
          <w:rFonts w:hAnsi="Times New Roman" w:cs="Times New Roman"/>
          <w:color w:val="000000"/>
          <w:sz w:val="24"/>
          <w:szCs w:val="24"/>
        </w:rPr>
      </w:pPr>
      <w:r>
        <w:rPr>
          <w:rFonts w:hAnsi="Times New Roman" w:cs="Times New Roman"/>
          <w:color w:val="000000"/>
          <w:sz w:val="24"/>
          <w:szCs w:val="24"/>
        </w:rPr>
        <w:t>- всех ИТР групп ТиГМО, ГТС и ПЗ;</w:t>
      </w:r>
    </w:p>
    <w:p>
      <w:pPr>
        <w:spacing w:line="240" w:lineRule="auto"/>
        <w:rPr>
          <w:rFonts w:hAnsi="Times New Roman" w:cs="Times New Roman"/>
          <w:color w:val="000000"/>
          <w:sz w:val="24"/>
          <w:szCs w:val="24"/>
        </w:rPr>
      </w:pPr>
      <w:r>
        <w:rPr>
          <w:rFonts w:hAnsi="Times New Roman" w:cs="Times New Roman"/>
          <w:color w:val="000000"/>
          <w:sz w:val="24"/>
          <w:szCs w:val="24"/>
        </w:rPr>
        <w:t>- всего персонала Службы мониторинга оборудования и гидротехнических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2. Режим работы ГЭС при регулировании стока.</w:t>
      </w:r>
    </w:p>
    <w:p>
      <w:pPr>
        <w:spacing w:line="240" w:lineRule="auto"/>
        <w:rPr>
          <w:rFonts w:hAnsi="Times New Roman" w:cs="Times New Roman"/>
          <w:color w:val="000000"/>
          <w:sz w:val="24"/>
          <w:szCs w:val="24"/>
        </w:rPr>
      </w:pPr>
      <w:r>
        <w:rPr>
          <w:rFonts w:hAnsi="Times New Roman" w:cs="Times New Roman"/>
          <w:color w:val="000000"/>
          <w:sz w:val="24"/>
          <w:szCs w:val="24"/>
        </w:rPr>
        <w:t>2.1. В нормальных эксплуатационных условиях регулирование стока р. Волги в створе Бирской ГЭС производится в соответствии с требованиями основных правил использования водных ресурсов в исполнение указаний Федерального Агентства Водных ресурсов (Росводресурсы), направляемых в АО , которым утверждаются диспетчерские графики работы БирскойГЭС.</w:t>
      </w:r>
    </w:p>
    <w:p>
      <w:pPr>
        <w:spacing w:line="240" w:lineRule="auto"/>
        <w:rPr>
          <w:rFonts w:hAnsi="Times New Roman" w:cs="Times New Roman"/>
          <w:color w:val="000000"/>
          <w:sz w:val="24"/>
          <w:szCs w:val="24"/>
        </w:rPr>
      </w:pPr>
      <w:r>
        <w:rPr>
          <w:rFonts w:hAnsi="Times New Roman" w:cs="Times New Roman"/>
          <w:color w:val="000000"/>
          <w:sz w:val="24"/>
          <w:szCs w:val="24"/>
        </w:rPr>
        <w:t>2.2. Переход на режим не предусмотренный Основными правилами, допускается лишь в случае возникновения непредвиденных обстоятельств, угрожающих безопасности и сохранности основных сооружений и требующих принятия экстренных неотложных мер. В этом случае режим работы гидроузла изменяется в установленном порядке техническим руководителем (главным инженером) Бирской ГЭС, с одновременным уведомлением об этом органов Росгидромета и органов местной власти , расположенных в зоне водохранилища и на нижележащем участке р. Волги.</w:t>
      </w:r>
    </w:p>
    <w:p>
      <w:pPr>
        <w:spacing w:line="240" w:lineRule="auto"/>
        <w:rPr>
          <w:rFonts w:hAnsi="Times New Roman" w:cs="Times New Roman"/>
          <w:color w:val="000000"/>
          <w:sz w:val="24"/>
          <w:szCs w:val="24"/>
        </w:rPr>
      </w:pPr>
      <w:r>
        <w:rPr>
          <w:rFonts w:hAnsi="Times New Roman" w:cs="Times New Roman"/>
          <w:color w:val="000000"/>
          <w:sz w:val="24"/>
          <w:szCs w:val="24"/>
        </w:rPr>
        <w:t>2.3. В период половодья при необходимости холостых сбросов воды используется водосливная плотина.</w:t>
      </w:r>
    </w:p>
    <w:p>
      <w:pPr>
        <w:spacing w:line="240" w:lineRule="auto"/>
        <w:rPr>
          <w:rFonts w:hAnsi="Times New Roman" w:cs="Times New Roman"/>
          <w:color w:val="000000"/>
          <w:sz w:val="24"/>
          <w:szCs w:val="24"/>
        </w:rPr>
      </w:pPr>
      <w:r>
        <w:rPr>
          <w:rFonts w:hAnsi="Times New Roman" w:cs="Times New Roman"/>
          <w:color w:val="000000"/>
          <w:sz w:val="24"/>
          <w:szCs w:val="24"/>
        </w:rPr>
        <w:t>Режим расходов и поддержания уровней верхнего и нижнего бьефов устанавливается указанием Росводресурсов. Распоряжение на начало и полное окончание холостых сбросов воды, требующих открытия (закрытия) затворов водосливной плотины выдаётся главным инженером Бирской ГЭС. Решение об увеличении (уменьшении) холостых сбросов воды, требующих маневрирования затворами водосливной плотины, принимает начальник смены станции, находящийся на смене.</w:t>
      </w:r>
    </w:p>
    <w:p>
      <w:pPr>
        <w:spacing w:line="240" w:lineRule="auto"/>
        <w:rPr>
          <w:rFonts w:hAnsi="Times New Roman" w:cs="Times New Roman"/>
          <w:color w:val="000000"/>
          <w:sz w:val="24"/>
          <w:szCs w:val="24"/>
        </w:rPr>
      </w:pPr>
      <w:r>
        <w:rPr>
          <w:rFonts w:hAnsi="Times New Roman" w:cs="Times New Roman"/>
          <w:color w:val="000000"/>
          <w:sz w:val="24"/>
          <w:szCs w:val="24"/>
        </w:rPr>
        <w:t>Решения принимаются в целях обеспечения исполнения указаний Рос-водресурсов, безопасности гидротехнических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2.4.В случае поступления прогноза о резком увеличении приточности в водохранилище при уровне верхнего бьефа, близком к НПУ, должны быть приняты предупреждающие меры (если позволяет гидрологическая ситуация) по недопущению превышения регламентированной отметки 84,00 м. за счет увеличения расхода воды через гидроузел открытием водосливной плотины. Превентивное решение о начале холостых сбросов принимается оперативно главным инженером электростанции. При снижении уровня ВБ ниже отметки 84,00 м, снижение расхода холостых сбросов не должно приводить к последующему росту уровня ВБ выше НПУ.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3. Порядок открытия и закрытия затворов водосливной плотины.</w:t>
      </w:r>
    </w:p>
    <w:p>
      <w:pPr>
        <w:spacing w:line="240" w:lineRule="auto"/>
        <w:rPr>
          <w:rFonts w:hAnsi="Times New Roman" w:cs="Times New Roman"/>
          <w:color w:val="000000"/>
          <w:sz w:val="24"/>
          <w:szCs w:val="24"/>
        </w:rPr>
      </w:pPr>
      <w:r>
        <w:rPr>
          <w:rFonts w:hAnsi="Times New Roman" w:cs="Times New Roman"/>
          <w:color w:val="000000"/>
          <w:sz w:val="24"/>
          <w:szCs w:val="24"/>
        </w:rPr>
        <w:t>3.1. До начала пропуска воды через водосливную плотину, как правило, должен быть обеспечен отлив пазов рабочих затворов и обеспечено отсутствие льда в них. Порядок раскрытия и закрытия плотины устанавливается с учётом состояния уплотнения затворов, условий работы кранов, величины и направления ветровой волны в водохранилище, состояния рисбермы водосливной плотины и размывов за ней в нижнем бьефе.</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опасных для сооружения размывов русла за рисбермой плотины эксплуатационному персоналу запрещается открывать полностью затвор плотины при отметке нижнего бьефа ниже 72,0 м.</w:t>
      </w:r>
    </w:p>
    <w:p>
      <w:pPr>
        <w:spacing w:line="240" w:lineRule="auto"/>
        <w:rPr>
          <w:rFonts w:hAnsi="Times New Roman" w:cs="Times New Roman"/>
          <w:color w:val="000000"/>
          <w:sz w:val="24"/>
          <w:szCs w:val="24"/>
        </w:rPr>
      </w:pPr>
      <w:r>
        <w:rPr>
          <w:rFonts w:hAnsi="Times New Roman" w:cs="Times New Roman"/>
          <w:color w:val="000000"/>
          <w:sz w:val="24"/>
          <w:szCs w:val="24"/>
        </w:rPr>
        <w:t>В благоприятных условиях очерёдность открытия пролётов водосливной плотины устанавливается (расходы указаны для отметки верхнего бьефа 84,00 мБС):</w:t>
      </w:r>
    </w:p>
    <w:p>
      <w:pPr>
        <w:spacing w:line="240" w:lineRule="auto"/>
        <w:rPr>
          <w:rFonts w:hAnsi="Times New Roman" w:cs="Times New Roman"/>
          <w:color w:val="000000"/>
          <w:sz w:val="24"/>
          <w:szCs w:val="24"/>
        </w:rPr>
      </w:pPr>
      <w:r>
        <w:rPr>
          <w:rFonts w:hAnsi="Times New Roman" w:cs="Times New Roman"/>
          <w:color w:val="000000"/>
          <w:sz w:val="24"/>
          <w:szCs w:val="24"/>
        </w:rPr>
        <w:t>а) сначала открываются пролёты №№ 11 и 12 в любой последовательности полным подъёмом верхних секций затворов;</w:t>
      </w:r>
    </w:p>
    <w:p>
      <w:pPr>
        <w:spacing w:line="240" w:lineRule="auto"/>
        <w:rPr>
          <w:rFonts w:hAnsi="Times New Roman" w:cs="Times New Roman"/>
          <w:color w:val="000000"/>
          <w:sz w:val="24"/>
          <w:szCs w:val="24"/>
        </w:rPr>
      </w:pPr>
      <w:r>
        <w:rPr>
          <w:rFonts w:hAnsi="Times New Roman" w:cs="Times New Roman"/>
          <w:color w:val="000000"/>
          <w:sz w:val="24"/>
          <w:szCs w:val="24"/>
        </w:rPr>
        <w:t>б) при открытых верхних секциях затворов в пролётах 11 и 12 открываются затворы в чётных номерах пролётов 2,4,6,8,10;</w:t>
      </w:r>
    </w:p>
    <w:p>
      <w:pPr>
        <w:spacing w:line="240" w:lineRule="auto"/>
        <w:rPr>
          <w:rFonts w:hAnsi="Times New Roman" w:cs="Times New Roman"/>
          <w:color w:val="000000"/>
          <w:sz w:val="24"/>
          <w:szCs w:val="24"/>
        </w:rPr>
      </w:pPr>
      <w:r>
        <w:rPr>
          <w:rFonts w:hAnsi="Times New Roman" w:cs="Times New Roman"/>
          <w:color w:val="000000"/>
          <w:sz w:val="24"/>
          <w:szCs w:val="24"/>
        </w:rPr>
        <w:t>в) с нарастанием притока открываются затворы в нечётных номерах пролётов 1,3,5.</w:t>
      </w:r>
    </w:p>
    <w:p>
      <w:pPr>
        <w:spacing w:line="240" w:lineRule="auto"/>
        <w:rPr>
          <w:rFonts w:hAnsi="Times New Roman" w:cs="Times New Roman"/>
          <w:color w:val="000000"/>
          <w:sz w:val="24"/>
          <w:szCs w:val="24"/>
        </w:rPr>
      </w:pPr>
      <w:r>
        <w:rPr>
          <w:rFonts w:hAnsi="Times New Roman" w:cs="Times New Roman"/>
          <w:color w:val="000000"/>
          <w:sz w:val="24"/>
          <w:szCs w:val="24"/>
        </w:rPr>
        <w:t>Пролет №7 подключается к участию в пропуске половодья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Пролет №9 не участвует в пропуске половодья в 2022 г.</w:t>
      </w:r>
    </w:p>
    <w:p>
      <w:pPr>
        <w:spacing w:line="240" w:lineRule="auto"/>
        <w:rPr>
          <w:rFonts w:hAnsi="Times New Roman" w:cs="Times New Roman"/>
          <w:color w:val="000000"/>
          <w:sz w:val="24"/>
          <w:szCs w:val="24"/>
        </w:rPr>
      </w:pPr>
      <w:r>
        <w:rPr>
          <w:rFonts w:hAnsi="Times New Roman" w:cs="Times New Roman"/>
          <w:color w:val="000000"/>
          <w:sz w:val="24"/>
          <w:szCs w:val="24"/>
        </w:rPr>
        <w:t>г) последующее открытие затворов (кроме пролётов 11 и 12) производится в указанной в пунктах "б", "в"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д) при дальнейшем нарастании притока открываются затворы полностью в чётных номерах пролётов, а затем в нечётных, затем нижние секции в пролетах №11 и №12.</w:t>
      </w:r>
    </w:p>
    <w:p>
      <w:pPr>
        <w:spacing w:line="240" w:lineRule="auto"/>
        <w:rPr>
          <w:rFonts w:hAnsi="Times New Roman" w:cs="Times New Roman"/>
          <w:color w:val="000000"/>
          <w:sz w:val="24"/>
          <w:szCs w:val="24"/>
        </w:rPr>
      </w:pPr>
      <w:r>
        <w:rPr>
          <w:rFonts w:hAnsi="Times New Roman" w:cs="Times New Roman"/>
          <w:color w:val="000000"/>
          <w:sz w:val="24"/>
          <w:szCs w:val="24"/>
        </w:rPr>
        <w:t>Зависимость расхода воды от уровня ВБ и величины открытия затворов ВСП представлена приложении №1.</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Общий расход через водосливную плотину при полном открытии пролётов - </w:t>
      </w:r>
      <w:r>
        <w:rPr>
          <w:rFonts w:hAnsi="Times New Roman" w:cs="Times New Roman"/>
          <w:b/>
          <w:bCs/>
          <w:color w:val="000000"/>
          <w:sz w:val="24"/>
          <w:szCs w:val="24"/>
        </w:rPr>
        <w:t>11820 м</w:t>
      </w:r>
      <w:r>
        <w:rPr>
          <w:rFonts w:hAnsi="Times New Roman" w:cs="Times New Roman"/>
          <w:b/>
          <w:bCs/>
          <w:color w:val="000000"/>
          <w:sz w:val="19"/>
          <w:szCs w:val="19"/>
          <w:vertAlign w:val="superscript"/>
        </w:rPr>
        <w:t>3</w:t>
      </w:r>
      <w:r>
        <w:rPr>
          <w:rFonts w:hAnsi="Times New Roman" w:cs="Times New Roman"/>
          <w:b/>
          <w:bCs/>
          <w:color w:val="000000"/>
          <w:sz w:val="24"/>
          <w:szCs w:val="24"/>
        </w:rPr>
        <w:t>/с.</w:t>
      </w:r>
    </w:p>
    <w:p>
      <w:pPr>
        <w:spacing w:line="240" w:lineRule="auto"/>
        <w:rPr>
          <w:rFonts w:hAnsi="Times New Roman" w:cs="Times New Roman"/>
          <w:color w:val="000000"/>
          <w:sz w:val="24"/>
          <w:szCs w:val="24"/>
        </w:rPr>
      </w:pPr>
      <w:r>
        <w:rPr>
          <w:rFonts w:hAnsi="Times New Roman" w:cs="Times New Roman"/>
          <w:color w:val="000000"/>
          <w:sz w:val="24"/>
          <w:szCs w:val="24"/>
        </w:rPr>
        <w:t>Суммарный расход воды через гидростанцию с учётом турбинных расходов 8-ми работающих гидроагрегатов (5000 м3/с) составит при НПУ -</w:t>
      </w:r>
      <w:r>
        <w:rPr>
          <w:rFonts w:hAnsi="Times New Roman" w:cs="Times New Roman"/>
          <w:b/>
          <w:bCs/>
          <w:color w:val="000000"/>
          <w:sz w:val="24"/>
          <w:szCs w:val="24"/>
        </w:rPr>
        <w:t xml:space="preserve"> 16820 м</w:t>
      </w:r>
      <w:r>
        <w:rPr>
          <w:rFonts w:hAnsi="Times New Roman" w:cs="Times New Roman"/>
          <w:b/>
          <w:bCs/>
          <w:color w:val="000000"/>
          <w:sz w:val="19"/>
          <w:szCs w:val="19"/>
          <w:vertAlign w:val="superscript"/>
        </w:rPr>
        <w:t>3</w:t>
      </w:r>
      <w:r>
        <w:rPr>
          <w:rFonts w:hAnsi="Times New Roman" w:cs="Times New Roman"/>
          <w:b/>
          <w:bCs/>
          <w:color w:val="000000"/>
          <w:sz w:val="24"/>
          <w:szCs w:val="24"/>
        </w:rPr>
        <w:t>/с.</w:t>
      </w:r>
    </w:p>
    <w:p>
      <w:pPr>
        <w:spacing w:line="240" w:lineRule="auto"/>
        <w:rPr>
          <w:rFonts w:hAnsi="Times New Roman" w:cs="Times New Roman"/>
          <w:color w:val="000000"/>
          <w:sz w:val="24"/>
          <w:szCs w:val="24"/>
        </w:rPr>
      </w:pPr>
      <w:r>
        <w:rPr>
          <w:rFonts w:hAnsi="Times New Roman" w:cs="Times New Roman"/>
          <w:color w:val="000000"/>
          <w:sz w:val="24"/>
          <w:szCs w:val="24"/>
        </w:rPr>
        <w:t>Закрытие пролётов плотины производится в обратной последовательности с посадкой затворов на порог.</w:t>
      </w:r>
    </w:p>
    <w:p>
      <w:pPr>
        <w:spacing w:line="240" w:lineRule="auto"/>
        <w:rPr>
          <w:rFonts w:hAnsi="Times New Roman" w:cs="Times New Roman"/>
          <w:color w:val="000000"/>
          <w:sz w:val="24"/>
          <w:szCs w:val="24"/>
        </w:rPr>
      </w:pPr>
      <w:r>
        <w:rPr>
          <w:rFonts w:hAnsi="Times New Roman" w:cs="Times New Roman"/>
          <w:color w:val="000000"/>
          <w:sz w:val="24"/>
          <w:szCs w:val="24"/>
        </w:rPr>
        <w:t>3.2 При возрастании притока, полном открытии всех затворов плотины и использовании всех гидротурбин, допускается форсировка уровня водохранилища до отметки 85,5 м (для половодий обеспеченностью 0,01%).</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Расходы воды через водосливную плотину при отм. 85,5 составит </w:t>
      </w:r>
      <w:r>
        <w:rPr>
          <w:rFonts w:hAnsi="Times New Roman" w:cs="Times New Roman"/>
          <w:b/>
          <w:bCs/>
          <w:color w:val="000000"/>
          <w:sz w:val="24"/>
          <w:szCs w:val="24"/>
        </w:rPr>
        <w:t>15300 м</w:t>
      </w:r>
      <w:r>
        <w:rPr>
          <w:rFonts w:hAnsi="Times New Roman" w:cs="Times New Roman"/>
          <w:b/>
          <w:bCs/>
          <w:color w:val="000000"/>
          <w:sz w:val="19"/>
          <w:szCs w:val="19"/>
          <w:vertAlign w:val="superscript"/>
        </w:rPr>
        <w:t>3</w:t>
      </w:r>
      <w:r>
        <w:rPr>
          <w:rFonts w:hAnsi="Times New Roman" w:cs="Times New Roman"/>
          <w:b/>
          <w:bCs/>
          <w:color w:val="000000"/>
          <w:sz w:val="24"/>
          <w:szCs w:val="24"/>
        </w:rPr>
        <w:t xml:space="preserve">/с. </w:t>
      </w:r>
      <w:r>
        <w:rPr>
          <w:rFonts w:hAnsi="Times New Roman" w:cs="Times New Roman"/>
          <w:color w:val="000000"/>
          <w:sz w:val="24"/>
          <w:szCs w:val="24"/>
        </w:rPr>
        <w:t>Общий расход воды через гидростанцию с учётом турбинных расходов 8-ми работающих гидроагрегатов (4500 м</w:t>
      </w:r>
      <w:r>
        <w:rPr>
          <w:rFonts w:hAnsi="Times New Roman" w:cs="Times New Roman"/>
          <w:color w:val="000000"/>
          <w:sz w:val="19"/>
          <w:szCs w:val="19"/>
          <w:vertAlign w:val="superscript"/>
        </w:rPr>
        <w:t>3</w:t>
      </w:r>
      <w:r>
        <w:rPr>
          <w:rFonts w:hAnsi="Times New Roman" w:cs="Times New Roman"/>
          <w:color w:val="000000"/>
          <w:sz w:val="24"/>
          <w:szCs w:val="24"/>
        </w:rPr>
        <w:t xml:space="preserve">/с) составит </w:t>
      </w:r>
      <w:r>
        <w:rPr>
          <w:rFonts w:hAnsi="Times New Roman" w:cs="Times New Roman"/>
          <w:b/>
          <w:bCs/>
          <w:color w:val="000000"/>
          <w:sz w:val="24"/>
          <w:szCs w:val="24"/>
        </w:rPr>
        <w:t>19800 м</w:t>
      </w:r>
      <w:r>
        <w:rPr>
          <w:rFonts w:hAnsi="Times New Roman" w:cs="Times New Roman"/>
          <w:b/>
          <w:bCs/>
          <w:color w:val="000000"/>
          <w:sz w:val="19"/>
          <w:szCs w:val="19"/>
          <w:vertAlign w:val="superscript"/>
        </w:rPr>
        <w:t>3</w:t>
      </w:r>
      <w:r>
        <w:rPr>
          <w:rFonts w:hAnsi="Times New Roman" w:cs="Times New Roman"/>
          <w:b/>
          <w:bCs/>
          <w:color w:val="000000"/>
          <w:sz w:val="24"/>
          <w:szCs w:val="24"/>
        </w:rPr>
        <w:t>/с.</w:t>
      </w:r>
    </w:p>
    <w:p>
      <w:pPr>
        <w:spacing w:line="240" w:lineRule="auto"/>
        <w:rPr>
          <w:rFonts w:hAnsi="Times New Roman" w:cs="Times New Roman"/>
          <w:color w:val="000000"/>
          <w:sz w:val="24"/>
          <w:szCs w:val="24"/>
        </w:rPr>
      </w:pPr>
      <w:r>
        <w:rPr>
          <w:rFonts w:hAnsi="Times New Roman" w:cs="Times New Roman"/>
          <w:color w:val="000000"/>
          <w:sz w:val="24"/>
          <w:szCs w:val="24"/>
        </w:rPr>
        <w:t>Понижение уровня нижнего бьефа при уменьшении пропуска через водосливную плотину не должно превышать 4 м в сутки во избежание оползневых явлений на откосах земляных сооружений и берегах. Одновременно, скорость понижения уровней не должна превышать 50 см в час. По этим же причинам амплитуда колебаний уровней в нижнем бьефе при суточном регулировании не должна превышать 4 м.</w:t>
      </w:r>
    </w:p>
    <w:p>
      <w:pPr>
        <w:spacing w:line="240" w:lineRule="auto"/>
        <w:rPr>
          <w:rFonts w:hAnsi="Times New Roman" w:cs="Times New Roman"/>
          <w:color w:val="000000"/>
          <w:sz w:val="24"/>
          <w:szCs w:val="24"/>
        </w:rPr>
      </w:pPr>
      <w:r>
        <w:rPr>
          <w:rFonts w:hAnsi="Times New Roman" w:cs="Times New Roman"/>
          <w:color w:val="000000"/>
          <w:sz w:val="24"/>
          <w:szCs w:val="24"/>
        </w:rPr>
        <w:t>Методика расчета расхода воды приведена в производственной инструкции № ИЭ-07-04ГР-2021 «По учету стока воды через створ Бирской ГЭС».</w:t>
      </w:r>
    </w:p>
    <w:p>
      <w:pPr>
        <w:spacing w:line="240" w:lineRule="auto"/>
        <w:rPr>
          <w:rFonts w:hAnsi="Times New Roman" w:cs="Times New Roman"/>
          <w:color w:val="000000"/>
          <w:sz w:val="24"/>
          <w:szCs w:val="24"/>
        </w:rPr>
      </w:pPr>
      <w:r>
        <w:rPr>
          <w:rFonts w:hAnsi="Times New Roman" w:cs="Times New Roman"/>
          <w:color w:val="000000"/>
          <w:sz w:val="24"/>
          <w:szCs w:val="24"/>
        </w:rPr>
        <w:t>4. Порядок постоянного наблюдения за уровнями воды ВБ и НБ.</w:t>
      </w:r>
    </w:p>
    <w:p>
      <w:pPr>
        <w:spacing w:line="240" w:lineRule="auto"/>
        <w:rPr>
          <w:rFonts w:hAnsi="Times New Roman" w:cs="Times New Roman"/>
          <w:color w:val="000000"/>
          <w:sz w:val="24"/>
          <w:szCs w:val="24"/>
        </w:rPr>
      </w:pPr>
      <w:r>
        <w:rPr>
          <w:rFonts w:hAnsi="Times New Roman" w:cs="Times New Roman"/>
          <w:color w:val="000000"/>
          <w:sz w:val="24"/>
          <w:szCs w:val="24"/>
        </w:rPr>
        <w:t>4.1. Наблюдения за уровнями ВБ и НБ по указателям уровней системы Гидроизмерений с записью в суточную ведомость производятся оперативным персоналом ГЭС каждый час.</w:t>
      </w:r>
    </w:p>
    <w:p>
      <w:pPr>
        <w:spacing w:line="240" w:lineRule="auto"/>
        <w:rPr>
          <w:rFonts w:hAnsi="Times New Roman" w:cs="Times New Roman"/>
          <w:color w:val="000000"/>
          <w:sz w:val="24"/>
          <w:szCs w:val="24"/>
        </w:rPr>
      </w:pPr>
      <w:r>
        <w:rPr>
          <w:rFonts w:hAnsi="Times New Roman" w:cs="Times New Roman"/>
          <w:color w:val="000000"/>
          <w:sz w:val="24"/>
          <w:szCs w:val="24"/>
        </w:rPr>
        <w:t>4.2. Поверка правильности работы данной аппаратуры осуществляется персоналом участка диагностики гидротехнических сооружений: по уровню НБ на водомерном посту НБ, расположенном на водораздельной стенке (бычке) между зданием ГЭС и водосливной плотиной - ежедневно (в рабочие дни). Уровень ВБ на водомерном посту ВБ в ПБ-3 – один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5. Порядок организации работ по маневрированию затворами ВСП и оповещения при подготовке к сбросу воды.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Работы по маневрированию и перемещению затворов ВСП производятся под руководством ответственного лица из состава ИТР, бригадой крановщиков и такелажников (стропальщиков) по наряду-допуску. Данные работы выполняются силами подрядных организаций, на основе заключенных договоров. В настоящее время подрядной организацией является </w:t>
      </w:r>
      <w:r>
        <w:rPr>
          <w:rFonts w:hAnsi="Times New Roman" w:cs="Times New Roman"/>
          <w:color w:val="000000"/>
          <w:sz w:val="24"/>
          <w:szCs w:val="24"/>
        </w:rPr>
        <w:t>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С целью возможности организации оперативного маневрирования затворами ВСП и ликвидации возможных непредвиденных ситуаций на механическом оборудовании ВСП в период прохождения половодья ГРВКК ежегодно до 01 апреля (в иных случаях – по запросу) предоставляет в адрес филиала </w:t>
      </w:r>
      <w:r>
        <w:rPr>
          <w:rFonts w:hAnsi="Times New Roman" w:cs="Times New Roman"/>
          <w:color w:val="000000"/>
          <w:sz w:val="24"/>
          <w:szCs w:val="24"/>
        </w:rPr>
        <w:t>___________</w:t>
      </w:r>
      <w:r>
        <w:rPr>
          <w:rFonts w:hAnsi="Times New Roman" w:cs="Times New Roman"/>
          <w:color w:val="000000"/>
          <w:sz w:val="24"/>
          <w:szCs w:val="24"/>
        </w:rPr>
        <w:t xml:space="preserve"> (далее – Филиал) с сопроводительным письмом список дежурных бригад.</w:t>
      </w:r>
    </w:p>
    <w:p>
      <w:pPr>
        <w:spacing w:line="240" w:lineRule="auto"/>
        <w:rPr>
          <w:rFonts w:hAnsi="Times New Roman" w:cs="Times New Roman"/>
          <w:color w:val="000000"/>
          <w:sz w:val="24"/>
          <w:szCs w:val="24"/>
        </w:rPr>
      </w:pPr>
      <w:r>
        <w:rPr>
          <w:rFonts w:hAnsi="Times New Roman" w:cs="Times New Roman"/>
          <w:color w:val="000000"/>
          <w:sz w:val="24"/>
          <w:szCs w:val="24"/>
        </w:rPr>
        <w:t>5.3. Оповещение и вызов работников ГРВКК о необходимости выполнения неотложных работ по маневрированию затворами ВСП производится согласно установленного Филиалом порядка.</w:t>
      </w:r>
    </w:p>
    <w:p>
      <w:pPr>
        <w:spacing w:line="240" w:lineRule="auto"/>
        <w:rPr>
          <w:rFonts w:hAnsi="Times New Roman" w:cs="Times New Roman"/>
          <w:color w:val="000000"/>
          <w:sz w:val="24"/>
          <w:szCs w:val="24"/>
        </w:rPr>
      </w:pPr>
      <w:r>
        <w:rPr>
          <w:rFonts w:hAnsi="Times New Roman" w:cs="Times New Roman"/>
          <w:color w:val="000000"/>
          <w:sz w:val="24"/>
          <w:szCs w:val="24"/>
        </w:rPr>
        <w:t>5.4. Наряд-допуск подготавливается персоналом группы ТиГМО ПТС Филиала заблаговременно (за несколько дней до вероятной даты открытия затворов ВСП).</w:t>
      </w:r>
    </w:p>
    <w:p>
      <w:pPr>
        <w:spacing w:line="240" w:lineRule="auto"/>
        <w:rPr>
          <w:rFonts w:hAnsi="Times New Roman" w:cs="Times New Roman"/>
          <w:color w:val="000000"/>
          <w:sz w:val="24"/>
          <w:szCs w:val="24"/>
        </w:rPr>
      </w:pPr>
      <w:r>
        <w:rPr>
          <w:rFonts w:hAnsi="Times New Roman" w:cs="Times New Roman"/>
          <w:color w:val="000000"/>
          <w:sz w:val="24"/>
          <w:szCs w:val="24"/>
        </w:rPr>
        <w:t>5.5. При начале и окончании пропуска воды через ВСП главным инженером ГЭС обеспечивается заблаговременное (не менее чем за 12 часов до начала холостых сбросов) оповещение о планируемых сбросных расходах и ожидаемых уровнях гидрометобсерватории,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Инженер группы режимов ОС ФИО</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Зам. гл. инженера по технической части ФИО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Зам. гл. инженера по эксплуатации </w:t>
      </w:r>
      <w:r>
        <w:rPr>
          <w:rFonts w:hAnsi="Times New Roman" w:cs="Times New Roman"/>
          <w:color w:val="000000"/>
          <w:sz w:val="24"/>
          <w:szCs w:val="24"/>
        </w:rPr>
        <w:t>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Начальник СОТиПК </w:t>
      </w:r>
      <w:r>
        <w:rPr>
          <w:rFonts w:hAnsi="Times New Roman" w:cs="Times New Roman"/>
          <w:color w:val="000000"/>
          <w:sz w:val="24"/>
          <w:szCs w:val="24"/>
        </w:rPr>
        <w:t>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Начальник ОС </w:t>
      </w:r>
      <w:r>
        <w:rPr>
          <w:rFonts w:hAnsi="Times New Roman" w:cs="Times New Roman"/>
          <w:color w:val="000000"/>
          <w:sz w:val="24"/>
          <w:szCs w:val="24"/>
        </w:rPr>
        <w:t>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Руководитель группы режимов ОС </w:t>
      </w:r>
      <w:r>
        <w:rPr>
          <w:rFonts w:hAnsi="Times New Roman" w:cs="Times New Roman"/>
          <w:color w:val="000000"/>
          <w:sz w:val="24"/>
          <w:szCs w:val="24"/>
        </w:rPr>
        <w:t>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Зависимость расхода от уровня ВБ и величины открытия затворов ВСП</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Пролет</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 открытия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82,00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82,10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82,20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82,30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82,40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82,50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82,60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82,70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82,80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82,90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83,00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83,10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83,20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83,30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83,40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83,50</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152</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261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263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266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268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291</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374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377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391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398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419</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полное открытие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699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713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727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771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786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817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848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863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877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892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905</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11, 12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перелив ч/з ниж.секц.</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182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193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226</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полное открытие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699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713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727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771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786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817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848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863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877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892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905</w:t>
            </w:r>
          </w:p>
        </w:tc>
      </w:tr>
    </w:tbl>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Пролет</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 открытия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83,60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83,70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83,80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83,90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84,00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84,10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84,20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84,30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84,40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84,50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84,60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84,70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84,80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84,90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85,00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85,10</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163</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312</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460</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полное открытие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919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934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967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1022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1075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1135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1175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1195</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11,12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перелив ч/з ниж.секц.</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261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273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378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389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412</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полное открытие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919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934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967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1022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1075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1135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1155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1175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1195</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15563c2fea047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