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22.12.2021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предварительного медосмотра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220</w:t>
      </w:r>
      <w:r>
        <w:rPr>
          <w:rFonts w:hAnsi="Times New Roman" w:cs="Times New Roman"/>
          <w:color w:val="000000"/>
          <w:sz w:val="24"/>
          <w:szCs w:val="24"/>
        </w:rPr>
        <w:t xml:space="preserve"> ТК, </w:t>
      </w:r>
      <w:r>
        <w:rPr>
          <w:rFonts w:hAnsi="Times New Roman" w:cs="Times New Roman"/>
          <w:color w:val="000000"/>
          <w:sz w:val="24"/>
          <w:szCs w:val="24"/>
        </w:rPr>
        <w:t>пунктом 19 приказа 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>, на основании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 проведение внеочередного медосмотра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выдать направление на внеочередной медосмотр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ответственному за организацию проведения внеочередного медосмотра, при выявлении нарушений, связанных с проведением внеочередного медосмотра, принимать своевременные меры по устранению нарушений и привлечению нарушителей к ответственности, предусмотренной действующим законодательством РФ. Не допускать к работе лиц, которые по медицинским заключениям имеют противопоказания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оставляю за собой.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8c1f8307d049e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