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мая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дежурных в праздничные дни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 основании </w:t>
      </w:r>
      <w:r>
        <w:rPr>
          <w:rFonts w:hAnsi="Times New Roman" w:cs="Times New Roman"/>
          <w:color w:val="000000"/>
          <w:sz w:val="24"/>
          <w:szCs w:val="24"/>
        </w:rPr>
        <w:t>статьи 113 ТК</w:t>
      </w:r>
      <w:r>
        <w:rPr>
          <w:rFonts w:hAnsi="Times New Roman" w:cs="Times New Roman"/>
          <w:color w:val="000000"/>
          <w:sz w:val="24"/>
          <w:szCs w:val="24"/>
        </w:rPr>
        <w:t>, в связи с производственной необходимостью организации,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 целях поддержания порядка в офисе и решения неотложных вопросов в период с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назначить дежурных: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Утвердить следующий график дежурств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оплатить в двойном размере работу в выходные и нерабочие праздничные дни (</w:t>
      </w:r>
      <w:r>
        <w:rPr>
          <w:rFonts w:hAnsi="Times New Roman" w:cs="Times New Roman"/>
          <w:color w:val="000000"/>
          <w:sz w:val="24"/>
          <w:szCs w:val="24"/>
        </w:rPr>
        <w:t>ст. 153 ТК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настоящим распоряжением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Буров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5ebf79629644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