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31.08.2021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 ответственных за охрану окружающей среды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федеральных законов </w:t>
      </w:r>
      <w:r>
        <w:rPr>
          <w:rFonts w:hAnsi="Times New Roman" w:cs="Times New Roman"/>
          <w:color w:val="000000"/>
          <w:sz w:val="24"/>
          <w:szCs w:val="24"/>
        </w:rPr>
        <w:t>№ 7-Ф3</w:t>
      </w:r>
      <w:r>
        <w:rPr>
          <w:rFonts w:hAnsi="Times New Roman" w:cs="Times New Roman"/>
          <w:color w:val="000000"/>
          <w:sz w:val="24"/>
          <w:szCs w:val="24"/>
        </w:rPr>
        <w:t xml:space="preserve"> «Об охране окружающей среды», </w:t>
      </w:r>
      <w:r>
        <w:rPr>
          <w:rFonts w:hAnsi="Times New Roman" w:cs="Times New Roman"/>
          <w:color w:val="000000"/>
          <w:sz w:val="24"/>
          <w:szCs w:val="24"/>
        </w:rPr>
        <w:t>№ 89-ФЗ</w:t>
      </w:r>
      <w:r>
        <w:rPr>
          <w:rFonts w:hAnsi="Times New Roman" w:cs="Times New Roman"/>
          <w:color w:val="000000"/>
          <w:sz w:val="24"/>
          <w:szCs w:val="24"/>
        </w:rPr>
        <w:t xml:space="preserve"> «Об отходах производства и потребления», </w:t>
      </w:r>
      <w:r>
        <w:rPr>
          <w:rFonts w:hAnsi="Times New Roman" w:cs="Times New Roman"/>
          <w:color w:val="000000"/>
          <w:sz w:val="24"/>
          <w:szCs w:val="24"/>
        </w:rPr>
        <w:t>№ 96-Ф3</w:t>
      </w:r>
      <w:r>
        <w:rPr>
          <w:rFonts w:hAnsi="Times New Roman" w:cs="Times New Roman"/>
          <w:color w:val="000000"/>
          <w:sz w:val="24"/>
          <w:szCs w:val="24"/>
        </w:rPr>
        <w:t xml:space="preserve"> «Об охране атмосферного воздуха», </w:t>
      </w:r>
      <w:r>
        <w:rPr>
          <w:rFonts w:hAnsi="Times New Roman" w:cs="Times New Roman"/>
          <w:color w:val="000000"/>
          <w:sz w:val="24"/>
          <w:szCs w:val="24"/>
        </w:rPr>
        <w:t>№ 74-ФЗ</w:t>
      </w:r>
      <w:r>
        <w:rPr>
          <w:rFonts w:hAnsi="Times New Roman" w:cs="Times New Roman"/>
          <w:color w:val="000000"/>
          <w:sz w:val="24"/>
          <w:szCs w:val="24"/>
        </w:rPr>
        <w:t xml:space="preserve"> «Водный кодекс РФ», </w:t>
      </w:r>
      <w:r>
        <w:rPr>
          <w:rFonts w:hAnsi="Times New Roman" w:cs="Times New Roman"/>
          <w:color w:val="000000"/>
          <w:sz w:val="24"/>
          <w:szCs w:val="24"/>
        </w:rPr>
        <w:t>№ 52-ФЗ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санитарно-эпидемиологическом благополучии населения»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контроль выполнения требований в области охраны окружающей среды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за охрану окружающей среды предоставлять данные для своевременного осуществления расчета платы за негативное воздействие на окружающую среду по объектам в отдел экологического контроля в срок до 5-го числа месяца, следующего за отчетным кварталом.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Назначить ответственным за сбор, хранение и передачу на размещение, обезвреживание, утилизацию отходов, а также за организацию, оборудование и эксплуатацию мест временного хранения отходов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Назначить ответственным за технически исправное состояние и эксплуатацию систем водоснабжения, водоотведения, электроснабжения, септиков и очистных сооружений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Ответственность за проведение производственного экологического контроля в соответствии с действующим положением о ПЭК Общества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над исполнением распоряжения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35abf80c874d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