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мая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строительный контроль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53 Градостроительного кодекса РФ</w:t>
      </w:r>
      <w:r>
        <w:rPr>
          <w:rFonts w:hAnsi="Times New Roman" w:cs="Times New Roman"/>
          <w:color w:val="000000"/>
          <w:sz w:val="24"/>
          <w:szCs w:val="24"/>
        </w:rPr>
        <w:t xml:space="preserve">, в целях проведения строительного контроля на объекте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проведение строительного контроля на объектах,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проверку соблюдения установленных норм и правил складирования и хранения применяемых строительных материалов, изделий, конструкций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соблюдения последовательности и состава технологических операций при производстве строительно-монтажных работ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осуществлении строительного контроля ответственному лицу руководствоваться проектной документацией, проектом производства работ, СНиП, СП, РД, ВСН и другой действующей нормативной документацией в строительстве.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 время отсутствия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(отпуск, болезнь, командировка) его обязанности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05fe0de1b54c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