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31.08.2021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назначении ответственных лиц, допущенных к обращению с отходами производства и потребления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требований </w:t>
      </w:r>
      <w:r>
        <w:rPr>
          <w:rFonts w:hAnsi="Times New Roman" w:cs="Times New Roman"/>
          <w:color w:val="000000"/>
          <w:sz w:val="24"/>
          <w:szCs w:val="24"/>
        </w:rPr>
        <w:t>Закона от 10.01.2002 г. № 7-ФЗ</w:t>
      </w:r>
      <w:r>
        <w:rPr>
          <w:rFonts w:hAnsi="Times New Roman" w:cs="Times New Roman"/>
          <w:color w:val="000000"/>
          <w:sz w:val="24"/>
          <w:szCs w:val="24"/>
        </w:rPr>
        <w:t xml:space="preserve"> «Об охране окружающей среды», </w:t>
      </w:r>
      <w:r>
        <w:rPr>
          <w:rFonts w:hAnsi="Times New Roman" w:cs="Times New Roman"/>
          <w:color w:val="000000"/>
          <w:sz w:val="24"/>
          <w:szCs w:val="24"/>
        </w:rPr>
        <w:t>Закона от 24.06.1998 г. № 89-ФЗ</w:t>
      </w:r>
      <w:r>
        <w:rPr>
          <w:rFonts w:hAnsi="Times New Roman" w:cs="Times New Roman"/>
          <w:color w:val="000000"/>
          <w:sz w:val="24"/>
          <w:szCs w:val="24"/>
        </w:rPr>
        <w:t xml:space="preserve"> «Об отходах производства и потребления», а также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26.12.2020 № 2290</w:t>
      </w:r>
      <w:r>
        <w:rPr>
          <w:rFonts w:hAnsi="Times New Roman" w:cs="Times New Roman"/>
          <w:color w:val="000000"/>
          <w:sz w:val="24"/>
          <w:szCs w:val="24"/>
        </w:rPr>
        <w:t xml:space="preserve"> «О лицензировании деятельности по сбору, транспортированию, обработке, утилизации, обезвреживанию, размещению отходов I – IV классов опасности»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ответственными по обращению с отходами производства и потребления (в части организации сбора, первичного учета, транспортирования, использования опасных отходов) в структурных подразделениях следующих должностных лиц: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Назначить ответственными за сбор, временное хранение и передачу на утилизацию и обезвреживание в специализированные организации отработанных люминесцентных и ртутных ламп следующих должностных лиц: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Назначить ответственными по обращению с опасными отходами (в части ведения процедур, связанных с документированными (в том числе паспортизованными) организационными операциями регулирования работ с отходами, включая учет и производственный контроль образования, сбора, накопления, утилизации, обезвреживания, транспортирования, хранения, захоронения и уничтожения отходов) следующих должностных лиц: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Ответственным лицам обеспечить: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контроля за соблюдением технологической дисциплины в части вредного воздействия производства на окружающую природную среду;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правильную эксплуатацию и эффективность работы газоочистных, аспирационных установок, системы оборотного водоснабжения, систем хозяйственно-питьевого водоснабжения и отведения хозяйственно-фекальных вод, систем переработки шлака и утилизации отходов;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представление отчетности инженеру-экологу;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извещение об авариях и инцидентах на оборудовании и механизмах, применяемых в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мероприятий по охране окружающей природной среды, своевременное принятие мер по выполнению предписаний инспектирующих органов, инженера-эколога;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учета образования отходов производства с ежемесячным заполнением Журнала движения отходов;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учета хранения и передачи отходов производства и потребления сторонним организациям, имеющим лицензию на деятельность по сбору, использованию, обезвреживанию, транспортировке, размещению отходов производства и потребления, выполняемую по договору.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Ознакомить ответственных лиц с настоящим приказом.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за выполнением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cb499f54a14f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