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от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24.03.2022</w:t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№</w:t>
                  </w:r>
                </w:p>
              </w:tc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создании комиссии по осмотру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зданий и сооружений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требованиями Свода правил </w:t>
      </w:r>
      <w:r>
        <w:rPr>
          <w:rFonts w:hAnsi="Times New Roman" w:cs="Times New Roman"/>
          <w:color w:val="000000"/>
          <w:sz w:val="24"/>
          <w:szCs w:val="24"/>
        </w:rPr>
        <w:t>СП255.1325800.2016</w:t>
      </w:r>
      <w:r>
        <w:rPr>
          <w:rFonts w:hAnsi="Times New Roman" w:cs="Times New Roman"/>
          <w:color w:val="000000"/>
          <w:sz w:val="24"/>
          <w:szCs w:val="24"/>
        </w:rPr>
        <w:t xml:space="preserve"> «Здания и сооружения. Правила эксплуатации. Основные положения», утвержденного </w:t>
      </w:r>
      <w:r>
        <w:rPr>
          <w:rFonts w:hAnsi="Times New Roman" w:cs="Times New Roman"/>
          <w:color w:val="000000"/>
          <w:sz w:val="24"/>
          <w:szCs w:val="24"/>
        </w:rPr>
        <w:t>приказом Минстроя от 24.08.2016 № 590/пр</w:t>
      </w:r>
      <w:r>
        <w:rPr>
          <w:rFonts w:hAnsi="Times New Roman" w:cs="Times New Roman"/>
          <w:color w:val="000000"/>
          <w:sz w:val="24"/>
          <w:szCs w:val="24"/>
        </w:rPr>
        <w:t>, и с целью сохранности зданий и сооружений путем надлежащего ухода за ними, своевременного и качественного проведения ремонта,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Создать комиссию по общему осмотру зданий и сооружений в составе: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 –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;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;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;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;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Комиссии по общему осмотру зданий и сооружений осуществлять общий осмотр два раза в год – весной и осенью, внеочередные осмотры – после стихийных бедствий или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Результаты всех видов осмотров оформлять актами и регистрировать их в журнале по эксплуатации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На основании результатов осмотров разработать и представить на утверждение графики: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аварийного ремонта;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текущего ремонта;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внеочередного обследования;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внеплановых мероприятий по обслуживанию здания (сооружения).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Утвердить положение о порядке проведения осмотров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Контроль за исполнением настоящего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657454e939446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