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27.02.2022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выдаче направлений на медицинский осмотр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со статьями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220</w:t>
      </w:r>
      <w:r>
        <w:rPr>
          <w:rFonts w:hAnsi="Times New Roman" w:cs="Times New Roman"/>
          <w:color w:val="000000"/>
          <w:sz w:val="24"/>
          <w:szCs w:val="24"/>
        </w:rPr>
        <w:t xml:space="preserve"> ТК, </w:t>
      </w:r>
      <w:r>
        <w:rPr>
          <w:rFonts w:hAnsi="Times New Roman" w:cs="Times New Roman"/>
          <w:color w:val="000000"/>
          <w:sz w:val="24"/>
          <w:szCs w:val="24"/>
        </w:rPr>
        <w:t>приказом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220 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ответственным лицом за выдачу направлений на медицинский осмотр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Ответственному лицу, указанному в пункте 1 настоящего приказа: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Выдавать направления на предварительный и периодический медицинский осмотр на основании утвержденных списков лиц, поступающих на работу, подлежащих предварительным медосмотрам, и работников, подлежащих периодическим медосмотрам,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Вести учет выдачи направлений в соответствующем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Не допускать работников к исполнению ими трудовых обязанностей без прохождения обязательных медицинских осмотров, а также в случае медицинских противопоказаний.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 приказом ознакомлен: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5d60390db2940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