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(название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«__»___________ 20____г.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_______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возмещении вреда в связи с увечьем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или иным повреждением здоровья,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связанным с исполнением трудовых обязанностей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_____________________ (Ф.И.О.) _______ г. произошел несчастный случай, связанный 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исполнением трудовых обязанностей (установлено профессиональное заболевание) 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Работодателем (судом) ____________ ____ г. было принято решение о выплате _____________________________  (Ф.И.О.) в возмещение вреда по ________ руб. в месяц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______ ____ г. из расчета его среднего заработка ________ руб.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того, 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то время утрата профессиональной трудоспособности была определена ВТЭК _____%.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настоящее время срок выплат истек. При переосвидетельствовании во ВТЭК утрата профессиональной трудоспособности установлена в _____% со сроком переосвидетельствования через ________, то есть _____________ ____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Таким образом, размер возмещения вреда гр. ____________ составляет _______ руб. в месяц из следующего расчета 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того, по заключению ВТЭК гр. ________ нуждается в 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ст. </w:t>
      </w:r>
      <w:r>
        <w:rPr>
          <w:rFonts w:hAnsi="Times New Roman" w:cs="Times New Roman"/>
          <w:color w:val="000000"/>
          <w:sz w:val="24"/>
          <w:szCs w:val="24"/>
        </w:rPr>
        <w:t>184 ТК РФ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Выплачивать _____________  (Ф.И.О)  в возмещение вреда ___________ руб.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Платежи производить начиная с _________ ____ г., то есть окончания предыдущих платежей, до _________ ____ г., то есть до переосвидетельствования во ВТЭК.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Выплатить гр. ____________ (Ф.И.О.) в возмещение дополнительных расходов (посторонний уход, санаторно-курортное лечение и др.) _________ руб. единовременно и выплачивать периодически _______ руб. в месяц с ________ ____ г. до ________ ____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Расходы по ___________ оплачивать по представлении счетов (справок).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06620b023ac4a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