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 апреля 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введении в действие форм документов по медосмотру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со статьями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220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в целях сохранения здоровья работников, а также предупреждения развития профессиональных заболеваний работников,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приказом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Утвердить и ввести в действие с момента подписания настоящего приказа: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Список лиц, поступающих на работу, подлежащих предварительным осмотрам.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Список работников, подлежащих периодическим медицинским осмотрам.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Поименный список работников, подлежащих периодическим медицинским осмотрам.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При направлении на медицинский осмотр ответственным лицам руководствоваться утвержденными списками.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Руководителям структурных подразделений провести с работниками вверенных им структурных подразделений целевой инструктаж по охране труда о необходимости и условиях прохождения периодических медосмотров.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Секретарю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довести данный приказ до сведения руководителей структурных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Контроль за исполнением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4bff47a22fc4f7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