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09.12.2021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завершении оценки профессиональных рисков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исполнения требований статей 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 и </w:t>
      </w:r>
      <w:r>
        <w:rPr>
          <w:rFonts w:hAnsi="Times New Roman" w:cs="Times New Roman"/>
          <w:color w:val="000000"/>
          <w:sz w:val="24"/>
          <w:szCs w:val="24"/>
        </w:rPr>
        <w:t>218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Считать работу по оценке профессиональных рисков в соответствии с приказом от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09.12.2021</w:t>
      </w:r>
      <w:r>
        <w:rPr>
          <w:rFonts w:hAnsi="Times New Roman" w:cs="Times New Roman"/>
          <w:color w:val="000000"/>
          <w:sz w:val="24"/>
          <w:szCs w:val="24"/>
        </w:rPr>
        <w:t xml:space="preserve"> 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завершенной.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Утвердить результаты оценки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составить план по управлению и контролю за рисками, вне зависимости от их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работников с результатами проведенной оценки профессиональных рисков на их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09.12.2021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09.12.2021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e0a01078be4c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