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w:t>
            </w:r>
          </w:p>
        </w:tc>
      </w:tr>
    </w:tbl>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__</w:t>
            </w:r>
            <w:r>
              <w:rPr>
                <w:rFonts w:hAnsi="Times New Roman" w:cs="Times New Roman"/>
                <w:color w:val="000000"/>
                <w:sz w:val="24"/>
                <w:szCs w:val="24"/>
              </w:rPr>
              <w:t xml:space="preserve">» </w:t>
            </w:r>
            <w:r>
              <w:rPr>
                <w:rFonts w:hAnsi="Times New Roman" w:cs="Times New Roman"/>
                <w:color w:val="000000"/>
                <w:sz w:val="24"/>
                <w:szCs w:val="24"/>
              </w:rPr>
              <w:t>______</w:t>
            </w:r>
            <w:r>
              <w:rPr>
                <w:rFonts w:hAnsi="Times New Roman" w:cs="Times New Roman"/>
                <w:color w:val="000000"/>
                <w:sz w:val="24"/>
                <w:szCs w:val="24"/>
              </w:rPr>
              <w:t> 20</w:t>
            </w:r>
            <w:r>
              <w:rPr>
                <w:rFonts w:hAnsi="Times New Roman" w:cs="Times New Roman"/>
                <w:color w:val="000000"/>
                <w:sz w:val="24"/>
                <w:szCs w:val="24"/>
              </w:rPr>
              <w:t>__</w:t>
            </w:r>
            <w:r>
              <w:rPr>
                <w:rFonts w:hAnsi="Times New Roman" w:cs="Times New Roman"/>
                <w:color w:val="000000"/>
                <w:sz w:val="24"/>
                <w:szCs w:val="24"/>
              </w:rPr>
              <w:t> года</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 </w:t>
            </w:r>
            <w:r>
              <w:rPr>
                <w:rFonts w:hAnsi="Times New Roman" w:cs="Times New Roman"/>
                <w:color w:val="000000"/>
                <w:sz w:val="24"/>
                <w:szCs w:val="24"/>
              </w:rPr>
              <w:t>__</w:t>
            </w:r>
          </w:p>
        </w:tc>
      </w:tr>
    </w:tbl>
    <w:p>
      <w:pPr>
        <w:spacing w:line="240" w:lineRule="auto"/>
        <w:jc w:val="center"/>
        <w:rPr>
          <w:rFonts w:hAnsi="Times New Roman" w:cs="Times New Roman"/>
          <w:color w:val="000000"/>
          <w:sz w:val="24"/>
          <w:szCs w:val="24"/>
        </w:rPr>
      </w:pPr>
      <w:r>
        <w:rPr>
          <w:rFonts w:hAnsi="Times New Roman" w:cs="Times New Roman"/>
          <w:color w:val="000000"/>
          <w:sz w:val="24"/>
          <w:szCs w:val="24"/>
        </w:rPr>
        <w:t>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ПРИКАЗ</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 установлении противопожарного режима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ПРИКАЗЫВАЮ</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Установить в </w:t>
      </w:r>
      <w:r>
        <w:rPr>
          <w:rFonts w:hAnsi="Times New Roman" w:cs="Times New Roman"/>
          <w:color w:val="000000"/>
          <w:sz w:val="24"/>
          <w:szCs w:val="24"/>
        </w:rPr>
        <w:t>____________</w:t>
      </w:r>
      <w:r>
        <w:rPr>
          <w:rFonts w:hAnsi="Times New Roman" w:cs="Times New Roman"/>
          <w:color w:val="000000"/>
          <w:sz w:val="24"/>
          <w:szCs w:val="24"/>
        </w:rPr>
        <w:t xml:space="preserve"> следующий противопожарный режим:</w:t>
      </w:r>
    </w:p>
    <w:p>
      <w:pPr>
        <w:spacing w:line="240" w:lineRule="auto"/>
        <w:rPr>
          <w:rFonts w:hAnsi="Times New Roman" w:cs="Times New Roman"/>
          <w:color w:val="000000"/>
          <w:sz w:val="24"/>
          <w:szCs w:val="24"/>
        </w:rPr>
      </w:pPr>
      <w:r>
        <w:rPr>
          <w:rFonts w:hAnsi="Times New Roman" w:cs="Times New Roman"/>
          <w:color w:val="000000"/>
          <w:sz w:val="24"/>
          <w:szCs w:val="24"/>
        </w:rPr>
        <w:t>1.1. Курение во всех помещениях </w:t>
      </w:r>
      <w:r>
        <w:rPr>
          <w:rFonts w:hAnsi="Times New Roman" w:cs="Times New Roman"/>
          <w:color w:val="000000"/>
          <w:sz w:val="24"/>
          <w:szCs w:val="24"/>
        </w:rPr>
        <w:t>____________</w:t>
      </w:r>
      <w:r>
        <w:rPr>
          <w:rFonts w:hAnsi="Times New Roman" w:cs="Times New Roman"/>
          <w:color w:val="000000"/>
          <w:sz w:val="24"/>
          <w:szCs w:val="24"/>
        </w:rPr>
        <w:t xml:space="preserve"> и на прилегающей территории запретить.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Запрещается сжигание мусора, сухой травы и опавших листьев деревьев на территории </w:t>
      </w:r>
      <w:r>
        <w:rPr>
          <w:rFonts w:hAnsi="Times New Roman" w:cs="Times New Roman"/>
          <w:color w:val="000000"/>
          <w:sz w:val="24"/>
          <w:szCs w:val="24"/>
        </w:rPr>
        <w:t>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 Запрещается пользоваться электроутюгами, электроплитами и другими электронагревательными приборами, не имеющими устройств тепловой защиты, без подставок из негорючих теплоизоляционных материалов, исключающих опасность возникновения пожара, и вне специально выделенных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1.4. Запрещается пользоваться поврежденными розетками, рубильниками, другими электрическими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Обеспечить размещение в </w:t>
      </w:r>
      <w:r>
        <w:rPr>
          <w:rFonts w:hAnsi="Times New Roman" w:cs="Times New Roman"/>
          <w:color w:val="000000"/>
          <w:sz w:val="24"/>
          <w:szCs w:val="24"/>
        </w:rPr>
        <w:t>____________</w:t>
      </w:r>
      <w:r>
        <w:rPr>
          <w:rFonts w:hAnsi="Times New Roman" w:cs="Times New Roman"/>
          <w:color w:val="000000"/>
          <w:sz w:val="24"/>
          <w:szCs w:val="24"/>
        </w:rPr>
        <w:t> схем (планов) эвакуации с обозначением на них мест расположения эвакуационных выходов, огнетушителей, пожарных кранов, аптечек.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Не допускать загромождения путей эвакуации и выходов в помещениях </w:t>
      </w:r>
      <w:r>
        <w:rPr>
          <w:rFonts w:hAnsi="Times New Roman" w:cs="Times New Roman"/>
          <w:color w:val="000000"/>
          <w:sz w:val="24"/>
          <w:szCs w:val="24"/>
        </w:rPr>
        <w:t>____________</w:t>
      </w:r>
      <w:r>
        <w:rPr>
          <w:rFonts w:hAnsi="Times New Roman" w:cs="Times New Roman"/>
          <w:color w:val="000000"/>
          <w:sz w:val="24"/>
          <w:szCs w:val="24"/>
        </w:rPr>
        <w:t>, в том числе проходов, коридоров, дверей,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1.7. При проведении временных огневых (электросварка, газосварка) и других пожароопасных работ удалить из здания людей, обеспечить место проведения этих работ огнетушителями, запасом воды, песка, другими первичными средствами пожаротушения. После окончания таких работ тщательно осмотреть место их проведения на отсутствие очагов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1.8. После рабочего дня перед закрытием помещений отключить все электроприборы и выключить свет.</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возникновения пожара немедленно обесточить электросеть здания учреждения рубильником, расположенным в электрощите. Сообщить о пожаре в ближайшую пожарную часть, оповестить людей о пожаре и эвакуировать их из здания, используя все эвакуационные выходы, приступить к тушению пожара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 Противопожарный инструктаж проводить: вводный – при приеме на работу, повторный со всеми работниками – не реже одного раза в шесть месяцев.</w:t>
      </w:r>
    </w:p>
    <w:p>
      <w:pPr>
        <w:spacing w:line="240" w:lineRule="auto"/>
        <w:rPr>
          <w:rFonts w:hAnsi="Times New Roman" w:cs="Times New Roman"/>
          <w:color w:val="000000"/>
          <w:sz w:val="24"/>
          <w:szCs w:val="24"/>
        </w:rPr>
      </w:pPr>
      <w:r>
        <w:rPr>
          <w:rFonts w:hAnsi="Times New Roman" w:cs="Times New Roman"/>
          <w:color w:val="000000"/>
          <w:sz w:val="24"/>
          <w:szCs w:val="24"/>
        </w:rPr>
        <w:t>4. Контроль за исполнением настоящего приказа возлагаю на себя.</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_____________________</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____________</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7c9abf774ae4c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