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участок № 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Бригадир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высоты, в том числе из-за отсутствия ограждения, из-за обрыва троса, в котлован, в шахту при подъеме или спуске при нештатной ситуации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внезапного появления на пути следования большого перепада высот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 участков, лежащих глубже в непосредственной близости от рабочих мест, маршрутов движения 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груза материалов, изделий, деталей, инструментов и других предметов с высоты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материалы, изделия, детали, инструменты,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проведением погрузочно-разгрузочных работ. 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обрушения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наземные конструкции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работ. Соблюдение требований безопасности при монтаже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автомобиля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 возможностью не услышать звуковой сигнал об 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работающая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рациональных архитектурно-планировочных решений производственных зданий, помещений, а также расстановки технологического оборудования, машин и организации рабочих мест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дистанционного управления и автоматического контроля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организации, 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3 </w:t>
      </w:r>
      <w:r>
        <w:rPr>
          <w:rFonts w:hAnsi="Times New Roman" w:cs="Times New Roman"/>
          <w:color w:val="000000"/>
          <w:sz w:val="24"/>
          <w:szCs w:val="24"/>
        </w:rPr>
        <w:t>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 Михаил Юрьевич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05d0e7677a41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