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numbering.xml" ContentType="application/vnd.openxmlformats-officedocument.wordprocessingml.numbering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line="240" w:lineRule="auto"/>
        <w:jc w:val="center"/>
        <w:rPr>
          <w:rFonts w:hAnsi="Times New Roman" w:cs="Times New Roman"/>
          <w:color w:val="000000"/>
          <w:sz w:val="24"/>
          <w:szCs w:val="24"/>
        </w:rPr>
      </w:pPr>
    </w:p>
    <w:p>
      <w:pPr>
        <w:spacing w:line="240" w:lineRule="auto"/>
        <w:jc w:val="center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Карта идентификации опасностей и оценки профессиональных рисков № </w:t>
      </w:r>
      <w:r>
        <w:rPr>
          <w:rFonts w:hAnsi="Times New Roman" w:cs="Times New Roman"/>
          <w:color w:val="000000"/>
          <w:sz w:val="24"/>
          <w:szCs w:val="24"/>
        </w:rPr>
        <w:t>8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600"/>
      </w:tblPr>
      <w:tblGrid>
        <w:gridCol w:w="1440"/>
        <w:gridCol w:w="1440"/>
        <w:gridCol w:w="1440"/>
        <w:gridCol w:w="1440"/>
        <w:gridCol w:w="1440"/>
      </w:tblGrid>
      <w:tr>
        <w:trPr>
          <w:trHeight w:val="0"/>
        </w:trPr>
        <w:tc>
          <w:tcPr>
            <w:tcW w:w="0" w:type="auto"/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Наименование структурного подразделения</w:t>
            </w:r>
          </w:p>
        </w:tc>
        <w:tc>
          <w:tcPr>
            <w:tcW w:w="0" w:type="auto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none" w:color="000000" w:sz="0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Склад</w:t>
            </w:r>
          </w:p>
        </w:tc>
        <w:tc>
          <w:tcPr>
            <w:tcW w:w="0" w:type="auto"/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0" w:type="auto"/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Наименование должности (профессии)</w:t>
            </w:r>
          </w:p>
        </w:tc>
        <w:tc>
          <w:tcPr>
            <w:tcW w:w="0" w:type="auto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none" w:color="000000" w:sz="0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Координатор складской логистики</w:t>
            </w:r>
          </w:p>
        </w:tc>
      </w:tr>
      <w:tr>
        <w:trPr>
          <w:trHeight w:val="0"/>
        </w:trPr>
        <w:tc>
          <w:tcPr>
            <w:tcW w:w="0" w:type="auto"/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0" w:type="auto"/>
            <w:tcBorders>
              <w:top w:val="single" w:color="000000" w:sz="6" w:space="0"/>
              <w:left w:val="none" w:color="000000" w:sz="0" w:space="0"/>
              <w:bottom w:val="none" w:color="000000" w:sz="0" w:space="0"/>
              <w:right w:val="none" w:color="000000" w:sz="0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0" w:type="auto"/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0" w:type="auto"/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0" w:type="auto"/>
            <w:tcBorders>
              <w:top w:val="single" w:color="000000" w:sz="6" w:space="0"/>
              <w:left w:val="none" w:color="000000" w:sz="0" w:space="0"/>
              <w:bottom w:val="none" w:color="000000" w:sz="0" w:space="0"/>
              <w:right w:val="none" w:color="000000" w:sz="0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</w:tr>
      <w:tr>
        <w:trPr>
          <w:trHeight w:val="0"/>
        </w:trPr>
        <w:tc>
          <w:tcPr>
            <w:tcW w:w="0" w:type="auto"/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Дата оценки</w:t>
            </w:r>
          </w:p>
        </w:tc>
        <w:tc>
          <w:tcPr>
            <w:tcW w:w="0" w:type="auto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none" w:color="000000" w:sz="0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15.04.2022</w:t>
            </w:r>
          </w:p>
        </w:tc>
        <w:tc>
          <w:tcPr>
            <w:tcW w:w="0" w:type="auto"/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0" w:type="auto"/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Общий риск</w:t>
            </w:r>
          </w:p>
        </w:tc>
        <w:tc>
          <w:tcPr>
            <w:tcW w:w="0" w:type="auto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none" w:color="000000" w:sz="0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 xml:space="preserve">Низкий </w:t>
            </w:r>
          </w:p>
        </w:tc>
      </w:tr>
      <w:tr>
        <w:trPr>
          <w:trHeight w:val="0"/>
        </w:trPr>
        <w:tc>
          <w:tcPr>
            <w:tcW w:w="0" w:type="auto"/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0" w:type="auto"/>
            <w:tcBorders>
              <w:top w:val="single" w:color="000000" w:sz="6" w:space="0"/>
              <w:left w:val="none" w:color="000000" w:sz="0" w:space="0"/>
              <w:bottom w:val="none" w:color="000000" w:sz="0" w:space="0"/>
              <w:right w:val="none" w:color="000000" w:sz="0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0" w:type="auto"/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0" w:type="auto"/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0" w:type="auto"/>
            <w:tcBorders>
              <w:top w:val="single" w:color="000000" w:sz="6" w:space="0"/>
              <w:left w:val="none" w:color="000000" w:sz="0" w:space="0"/>
              <w:bottom w:val="none" w:color="000000" w:sz="0" w:space="0"/>
              <w:right w:val="none" w:color="000000" w:sz="0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</w:tr>
    </w:tbl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600"/>
      </w:tblPr>
      <w:tblGrid>
        <w:gridCol w:w="1440"/>
        <w:gridCol w:w="1440"/>
        <w:gridCol w:w="1440"/>
        <w:gridCol w:w="1440"/>
        <w:gridCol w:w="1440"/>
        <w:gridCol w:w="1440"/>
        <w:gridCol w:w="1440"/>
        <w:gridCol w:w="1440"/>
        <w:gridCol w:w="1440"/>
        <w:gridCol w:w="1440"/>
        <w:gridCol w:w="1440"/>
      </w:tblGrid>
      <w:tr>
        <w:trPr>
          <w:trHeight w:val="0"/>
        </w:trPr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№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line="240" w:lineRule="auto"/>
              <w:jc w:val="center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Наименование опасности,</w:t>
            </w:r>
            <w:r>
              <w:br/>
            </w:r>
            <w:r>
              <w:rPr>
                <w:rFonts w:hAnsi="Times New Roman" w:cs="Times New Roman"/>
                <w:color w:val="000000"/>
                <w:sz w:val="24"/>
                <w:szCs w:val="24"/>
              </w:rPr>
              <w:t>опасного события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line="240" w:lineRule="auto"/>
              <w:jc w:val="center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Наименование оборудования — потенциального источника причинения травмы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jc w:val="center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Последствия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jc w:val="center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Тяжесть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jc w:val="center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Вероятность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jc w:val="center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Индекс риска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jc w:val="center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Уровень риска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jc w:val="center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Существующие меры управления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jc w:val="center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Заключение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jc w:val="center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Мероприятия по снижению риска</w:t>
            </w:r>
          </w:p>
        </w:tc>
      </w:tr>
      <w:tr>
        <w:trPr>
          <w:trHeight w:val="0"/>
        </w:trPr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1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Опасность наезда транспорта на человека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Погрузчик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Травмы различной степени тяжести, утрата трудоспособности, летальный исход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4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2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8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Средний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Соблюдение правил дорожного движения и правил перемещения транспортных средств по территории работодателя, соблюдение скоростного режима, применение исправных транспортных средств, соответствующих требованиям безопасности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Допустимый риск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Разделение маршрутов движения людей и транспортных средств, исключающих случайный выход людей на пути движения транспорта, а также случайный выезд транспорта на пути движения людей, в том числе с применением отбойников и ограждений</w:t>
            </w:r>
          </w:p>
        </w:tc>
      </w:tr>
      <w:tr>
        <w:trPr>
          <w:trHeight w:val="0"/>
        </w:trPr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2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Опасность внезапного возникновения технической неисправности погрузчика, находящегося в движении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Погрузчик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Травмы различной степени тяжести, утрата трудоспособности, летальный исход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4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2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8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Средний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Соблюдение правил дорожного движения и правил перемещения транспортных средств по территории работодателя, соблюдение скоростного режима, применение исправных транспортных средств, соответствующих требованиям безопасности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Допустимый риск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Разделение маршрутов движения людей и транспортных средств, исключающих случайный выход людей на пути движения транспорта, а также случайный выезд транспорта на пути движения людей, в том числе с применением отбойников и ограждений</w:t>
            </w:r>
          </w:p>
        </w:tc>
      </w:tr>
      <w:tr>
        <w:trPr>
          <w:trHeight w:val="0"/>
        </w:trPr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3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Опасность заваливания складируемыми грузами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Складируемые грузы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Травмы различной степени тяжести, утрата трудоспособности, летальный исход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4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2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8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Средний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Обеспечение безопасной эксплуатации технологического оборудования, используемого на производстве, а также контроль за соблюдением требований Правил. Содержание технологического оборудования и технологической оснастки в исправном состоянии, эксплуатация в соответствии с требованиями Правил и технической (эксплуатационной) документации организации-изготовителя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Допустимый риск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Установка ограждений, сигнальных знаков. Контроль за погрузочно-разгрузочными работами</w:t>
            </w:r>
          </w:p>
        </w:tc>
      </w:tr>
      <w:tr>
        <w:trPr>
          <w:trHeight w:val="0"/>
        </w:trPr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4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Опасность удара из-за падения перемещаемого груза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Складируемые грузы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Травмы различной степени тяжести, утрата трудоспособности, летальный исход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3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2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6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Средний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Обеспечение безопасной эксплуатации технологического оборудования, используемого на производстве, а также контроль за соблюдением требований Правил. Содержание технологического оборудования и технологической оснастки в исправном состоянии, эксплуатация в соответствии с требованиями Правил и технической (эксплуатационной) документации организации-изготовителя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Допустимый риск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Установка ограждений, сигнальных знаков. Контроль за погрузочно-разгрузочными работами</w:t>
            </w:r>
          </w:p>
        </w:tc>
      </w:tr>
      <w:tr>
        <w:trPr>
          <w:trHeight w:val="0"/>
        </w:trPr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5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Опасность физических перегрузок при чрезмерных физических усилиях при подъеме предметов и деталей, при перемещении предметов и деталей, при стереотипных рабочих движениях и при статических нагрузках, при неудобной рабочей позе, в том числе при наклонах корпуса тела работника более чем на 30°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Человеческий фактор, положение в пространстве при общей нагрузке (с участием мышц рук, корпуса, ног). Подъем и перемещение тяжестей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Травмы различной степени тяжести, случаи временной нетрудоспособности</w:t>
            </w:r>
          </w:p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Повреждение костно-мышечного аппарата работника при физических перегрузках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3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2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6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Средний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 xml:space="preserve">Соблюдение режимов труда и отдыха. Не допускается поднимать и переносить груз весом, превышающим предельно допустимые нормы 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Допустимый риск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Контроль за соблюдением режимов труда и отдыха</w:t>
            </w:r>
          </w:p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</w:p>
        </w:tc>
      </w:tr>
      <w:tr>
        <w:trPr>
          <w:trHeight w:val="0"/>
        </w:trPr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6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Опасность поражения током вследствие контакта с токоведущими частями, которые находятся под напряжением из-за неисправного состояния (косвенный контакт)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Оборудование, инструмент</w:t>
            </w:r>
            <w:r>
              <w:rPr>
                <w:rFonts w:hAnsi="Times New Roman" w:cs="Times New Roman"/>
                <w:color w:val="000000"/>
                <w:sz w:val="24"/>
                <w:szCs w:val="24"/>
              </w:rPr>
              <w:t>, бытовые электроприборы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Травмы различной степени тяжести, утрата трудоспособности, летальный исход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4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1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4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Низкий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Наличие защитного заземления. Безопасное расположение токоведущих частей.Периодическое проведение испытаний и измерений сопротивления изоляции проводов, кабелей и заземляющих устройств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Допустимый риск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Проверка работником исправности оборудования и правильность его подключения в электросеть перед началом работ</w:t>
            </w:r>
          </w:p>
        </w:tc>
      </w:tr>
      <w:tr>
        <w:trPr>
          <w:trHeight w:val="0"/>
        </w:trPr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7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Опасность от вдыхания дыма, паров вредных газов и пыли при пожаре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Пожар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Травмы различной степени тяжести, утрата трудоспособности, летальный исход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4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1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4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Низкий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Системы дымоудаления, приобретение огнетушителей, их маркировка, своевременная замена при окончании срока эксплуатации. Противопожарная сигнализация в помещениях и проведение её систематических испытаний. Размещение плана эвакуации при пожаре в общедоступном месте, а также знаков, направляющих к эвакуационному выходу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Допустимый риск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Проведение</w:t>
            </w:r>
          </w:p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тренировок персонала по эвакуации и противопожарных инструктажей, в соответствии с графиком</w:t>
            </w:r>
          </w:p>
        </w:tc>
      </w:tr>
      <w:tr>
        <w:trPr>
          <w:trHeight w:val="0"/>
        </w:trPr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8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Опасность воздействия открытого пламени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Пожар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Травмы различной степени тяжести, утрата трудоспособности, летальный исход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4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1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4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Низкий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Системы дымоудаления, приобретение огнетушителей, их маркировка, своевременная замена при окончании срока эксплуатации. Противопожарная сигнализация в помещениях и проведение её систематических испытаний. Размещение плана эвакуации при пожаре в общедоступном месте, а также знаков, направляющих к эвакуационному выходу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Допустимый риск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Проведение</w:t>
            </w:r>
          </w:p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тренировок персонала по эвакуации и противопожарных инструктажей, в соответствии с графиком</w:t>
            </w:r>
          </w:p>
        </w:tc>
      </w:tr>
      <w:tr>
        <w:trPr>
          <w:trHeight w:val="0"/>
        </w:trPr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9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Опасность воздействия пониженной концентрации кислорода в воздухе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Пожар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Травмы различной степени тяжести, утрата трудоспособности, летальный исход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4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1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4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Низкий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Системы дымоудаления, приобретение огнетушителей, их маркировка, своевременная замена при окончании срока эксплуатации. Противопожарная сигнализация в помещениях и проведение её систематических испытаний. Размещение плана эвакуации при пожаре в общедоступном месте, а также знаков, направляющих к эвакуационному выходу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Допустимый риск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Проведение</w:t>
            </w:r>
          </w:p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тренировок персонала по эвакуации и противопожарных инструктажей, в соответствии с графиком</w:t>
            </w:r>
          </w:p>
        </w:tc>
      </w:tr>
      <w:tr>
        <w:trPr>
          <w:trHeight w:val="0"/>
        </w:trPr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10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Опасность травмирования, в том числе снегом и (или) льдом, упавшими с крыш зданий и сооружений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Скопление снега и сосулек на кровле здания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Травмы различной степени тяжести, утрата трудоспособности, летальный исход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4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1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4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Низкий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Установка ограждений, сигнальных знаков, своевременная очистка крыш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Допустимый риск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Контроль за состоянием крыш</w:t>
            </w:r>
          </w:p>
        </w:tc>
      </w:tr>
      <w:tr>
        <w:trPr>
          <w:trHeight w:val="0"/>
        </w:trPr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11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Опасность падения из-за потери равновесия, в том числе при спотыкании или подскальзывании, при передвижении по скользким поверхностям или мокрым полам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 xml:space="preserve">Территория организации 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Незначительные травмы, случаи ухудшения здоровья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 xml:space="preserve"> 2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 xml:space="preserve"> 2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 xml:space="preserve"> 4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 xml:space="preserve"> Низкий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Использование антигололедных средств для обработки уличных дорог и пешеходных зон. Применение в зоне входной группы противоскользящих покрытий пола. Организация мытья полов во время отсутствия работников на рабочих местах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Допустимый риск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Дополнительные меры управления не требуются</w:t>
            </w:r>
          </w:p>
        </w:tc>
      </w:tr>
      <w:tr>
        <w:trPr>
          <w:trHeight w:val="0"/>
        </w:trPr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12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Опасность падения с высоты при передвижении по лестничным пролетам (лестницам)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Лестничные пролеты, лестницы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Травмы, требующие медицинского вмешательства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 xml:space="preserve"> 2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 xml:space="preserve"> 2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 xml:space="preserve"> 4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 xml:space="preserve"> Низкий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Использование ограждений, сигнальных знаков. Использование антискользящих накладок на ступени со светоотражающими полосками. Правильная организация уборки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Допустимый риск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Дополнительные меры управления не требуются</w:t>
            </w:r>
          </w:p>
        </w:tc>
      </w:tr>
      <w:tr>
        <w:trPr>
          <w:trHeight w:val="0"/>
        </w:trPr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13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Опасность недостаточной освещенности в рабочей зоне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 xml:space="preserve"> Территория организации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Незначительные травмы, случаи ухудшения здоровья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 xml:space="preserve"> 2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 xml:space="preserve"> 2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 xml:space="preserve"> 4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 xml:space="preserve"> Низкий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Установка осветительных приборов общего и локального освещения, позволяющих поддерживать комфортное состояние зрительного аппарата работника. Соблюдение режимов труда и отдыха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Допустимый риск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Обеспечение достаточной освещенности рабочей зоны. Организация своевременной замены перегоревших ламп в светильниках. </w:t>
            </w:r>
          </w:p>
        </w:tc>
      </w:tr>
      <w:tr>
        <w:trPr>
          <w:trHeight w:val="0"/>
        </w:trPr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14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Опасность повышенной яркости света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Территория организации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Незначительные травмы, случаи ухудшения здоровья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2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2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4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Низкий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Установка осветительных приборов общего и локального освещения, позволяющих поддерживать комфортное состояние зрительного аппарата работника. Соблюдение режимов труда и отдыха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Допустимый риск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 xml:space="preserve">Обеспечение достаточной освещенности рабочей зоны. Организация своевременной замены перегоревших ламп в светильниках. </w:t>
            </w:r>
          </w:p>
        </w:tc>
      </w:tr>
      <w:tr>
        <w:trPr>
          <w:trHeight w:val="0"/>
        </w:trPr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15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Опасность удара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Груз, оборудование, инструмент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Незначительные травмы, случаи ухудшения здоровья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2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2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4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Низкий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Соблюдение правил транспортировки, эксплуатации инструмента, механизмов, оборудования. Обеспечение безопасной эксплуатации технологического оборудования, а также контроль за соблюдением требований Правил. Своевременная проверка оборудования, механизмов, обслуживание и плановые ремонты. При устранении неполадок, повреждений: предупредительные знаки, ограждения, аварийная остановка. Обеспечение работника СИЗ, контроль применения. Применение оборудования по назначению, согласно комплекту технологической и эксплуатационно-технической документации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Допустимый риск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Определение круга лиц, осуществляющих контроль за состоянием и безопасной эксплуатацией оборудования. Раздача памяток работникам</w:t>
            </w:r>
          </w:p>
        </w:tc>
      </w:tr>
      <w:tr>
        <w:trPr>
          <w:trHeight w:val="0"/>
        </w:trPr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16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Опасность воздействия пыли на кожу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Пыль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Незначительные травмы, случаи ухудшения здоровья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2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2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4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Низкий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Контроль за состоянием поверхностей, своевременная уборка. Использование СИЗ и контроль применения. Соблюдение режимов труда и отдыха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Допустимый риск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Дополнительные меры управления не требуются</w:t>
            </w:r>
          </w:p>
        </w:tc>
      </w:tr>
      <w:tr>
        <w:trPr>
          <w:trHeight w:val="0"/>
        </w:trPr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17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Опасность воздействия пыли на глаза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Пыль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Незначительные травмы, случаи ухудшения здоровья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2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2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4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Низкий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Контроль за состоянием поверхностей, своевременная уборка. Использование СИЗ и контроль применения. Соблюдение режимов труда и отдыха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Допустимый риск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Дополнительные меры управления не требуются</w:t>
            </w:r>
          </w:p>
        </w:tc>
      </w:tr>
      <w:tr>
        <w:trPr>
          <w:trHeight w:val="0"/>
        </w:trPr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18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Опасность запутаться, в том числе в растянутых по полу сварочных проводах, тросах, нитях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Оборудование, инструмент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Незначительные травмы, случаи ухудшения здоровья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2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2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4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Низкий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 xml:space="preserve">Поддержание порядка на рабочем месте. Обеспечение безопасной эксплуатации технологического оборудования, а также контроль за соблюдением требований. 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Допустимый риск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Определение круга лиц, осуществляющих контроль за порядком на рабочем месте</w:t>
            </w:r>
          </w:p>
        </w:tc>
      </w:tr>
      <w:tr>
        <w:trPr>
          <w:trHeight w:val="0"/>
        </w:trPr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19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Опасность пореза частей тела, в том числе кромкой листа бумаги, канцелярским ножом, ножницами, острыми кромками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Бумага, канцелярские принадлежности, оборудование, инструмент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Незначительные травмы, случаи ухудшения здоровья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 xml:space="preserve"> 2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 xml:space="preserve"> 2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 xml:space="preserve"> 4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line="240" w:lineRule="auto"/>
              <w:jc w:val="center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Низкий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Мер по снижению риска не предусмотрено, риск управлению не подлежит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Допустимый риск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Дополнительные меры управления не требуются</w:t>
            </w:r>
          </w:p>
        </w:tc>
      </w:tr>
      <w:tr>
        <w:trPr>
          <w:trHeight w:val="0"/>
        </w:trPr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20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Опасность психических нагрузок, стрессов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Человеческий фактор, высокая нагрузка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Незначительные травмы, случаи ухудшения здоровья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 xml:space="preserve"> 2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 xml:space="preserve"> 2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 xml:space="preserve"> 4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 xml:space="preserve"> Низкий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Соблюдение установленных регламентированных перерывов в течение рабочей смены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Допустимый риск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Дополнительные меры управления не требуются</w:t>
            </w:r>
          </w:p>
        </w:tc>
      </w:tr>
    </w:tbl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Карту идентификации опасностей и оценки профессиональных рисков составили: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600"/>
      </w:tblPr>
      <w:tblGrid>
        <w:gridCol w:w="1440"/>
        <w:gridCol w:w="1440"/>
        <w:gridCol w:w="1440"/>
        <w:gridCol w:w="1440"/>
        <w:gridCol w:w="1440"/>
      </w:tblGrid>
      <w:tr>
        <w:trPr>
          <w:trHeight w:val="0"/>
        </w:trPr>
        <w:tc>
          <w:tcPr>
            <w:tcW w:w="0" w:type="auto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none" w:color="000000" w:sz="0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Главный инженер</w:t>
            </w:r>
          </w:p>
        </w:tc>
        <w:tc>
          <w:tcPr>
            <w:tcW w:w="0" w:type="auto"/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/>
        </w:tc>
        <w:tc>
          <w:tcPr>
            <w:tcW w:w="0" w:type="auto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none" w:color="000000" w:sz="0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Соколов</w:t>
            </w:r>
          </w:p>
        </w:tc>
        <w:tc>
          <w:tcPr>
            <w:tcW w:w="0" w:type="auto"/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/>
        </w:tc>
        <w:tc>
          <w:tcPr>
            <w:tcW w:w="0" w:type="auto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none" w:color="000000" w:sz="0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Соколов Д.И.</w:t>
            </w:r>
          </w:p>
        </w:tc>
      </w:tr>
      <w:tr>
        <w:trPr>
          <w:trHeight w:val="0"/>
        </w:trPr>
        <w:tc>
          <w:tcPr>
            <w:tcW w:w="0" w:type="auto"/>
            <w:tcBorders>
              <w:top w:val="single" w:color="000000" w:sz="6" w:space="0"/>
              <w:left w:val="none" w:color="000000" w:sz="0" w:space="0"/>
              <w:bottom w:val="none" w:color="000000" w:sz="0" w:space="0"/>
              <w:right w:val="none" w:color="000000" w:sz="0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19"/>
                <w:szCs w:val="19"/>
                <w:vertAlign w:val="superscript"/>
              </w:rPr>
              <w:t>(наименование должности)</w:t>
            </w:r>
          </w:p>
        </w:tc>
        <w:tc>
          <w:tcPr>
            <w:tcW w:w="0" w:type="auto"/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0" w:type="auto"/>
            <w:tcBorders>
              <w:top w:val="single" w:color="000000" w:sz="6" w:space="0"/>
              <w:left w:val="none" w:color="000000" w:sz="0" w:space="0"/>
              <w:bottom w:val="none" w:color="000000" w:sz="0" w:space="0"/>
              <w:right w:val="none" w:color="000000" w:sz="0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19"/>
                <w:szCs w:val="19"/>
                <w:vertAlign w:val="superscript"/>
              </w:rPr>
              <w:t>(подпись)</w:t>
            </w:r>
          </w:p>
        </w:tc>
        <w:tc>
          <w:tcPr>
            <w:tcW w:w="0" w:type="auto"/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0" w:type="auto"/>
            <w:tcBorders>
              <w:top w:val="single" w:color="000000" w:sz="6" w:space="0"/>
              <w:left w:val="none" w:color="000000" w:sz="0" w:space="0"/>
              <w:bottom w:val="none" w:color="000000" w:sz="0" w:space="0"/>
              <w:right w:val="none" w:color="000000" w:sz="0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19"/>
                <w:szCs w:val="19"/>
                <w:vertAlign w:val="superscript"/>
              </w:rPr>
              <w:t>(Ф. И. О.)</w:t>
            </w:r>
          </w:p>
        </w:tc>
      </w:tr>
    </w:tbl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600"/>
      </w:tblPr>
      <w:tblGrid>
        <w:gridCol w:w="1440"/>
        <w:gridCol w:w="1440"/>
        <w:gridCol w:w="1440"/>
        <w:gridCol w:w="1440"/>
        <w:gridCol w:w="1440"/>
      </w:tblGrid>
      <w:tr>
        <w:trPr>
          <w:trHeight w:val="0"/>
        </w:trPr>
        <w:tc>
          <w:tcPr>
            <w:tcW w:w="0" w:type="auto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none" w:color="000000" w:sz="0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Специалист по охране труда</w:t>
            </w:r>
          </w:p>
        </w:tc>
        <w:tc>
          <w:tcPr>
            <w:tcW w:w="0" w:type="auto"/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/>
        </w:tc>
        <w:tc>
          <w:tcPr>
            <w:tcW w:w="0" w:type="auto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none" w:color="000000" w:sz="0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Петров</w:t>
            </w:r>
          </w:p>
        </w:tc>
        <w:tc>
          <w:tcPr>
            <w:tcW w:w="0" w:type="auto"/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/>
        </w:tc>
        <w:tc>
          <w:tcPr>
            <w:tcW w:w="0" w:type="auto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none" w:color="000000" w:sz="0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Петров А.С.</w:t>
            </w:r>
          </w:p>
        </w:tc>
      </w:tr>
      <w:tr>
        <w:trPr>
          <w:trHeight w:val="0"/>
        </w:trPr>
        <w:tc>
          <w:tcPr>
            <w:tcW w:w="0" w:type="auto"/>
            <w:tcBorders>
              <w:top w:val="single" w:color="000000" w:sz="6" w:space="0"/>
              <w:left w:val="none" w:color="000000" w:sz="0" w:space="0"/>
              <w:bottom w:val="none" w:color="000000" w:sz="0" w:space="0"/>
              <w:right w:val="none" w:color="000000" w:sz="0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19"/>
                <w:szCs w:val="19"/>
                <w:vertAlign w:val="superscript"/>
              </w:rPr>
              <w:t>(наименование должности)</w:t>
            </w:r>
          </w:p>
        </w:tc>
        <w:tc>
          <w:tcPr>
            <w:tcW w:w="0" w:type="auto"/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0" w:type="auto"/>
            <w:tcBorders>
              <w:top w:val="single" w:color="000000" w:sz="6" w:space="0"/>
              <w:left w:val="none" w:color="000000" w:sz="0" w:space="0"/>
              <w:bottom w:val="none" w:color="000000" w:sz="0" w:space="0"/>
              <w:right w:val="none" w:color="000000" w:sz="0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19"/>
                <w:szCs w:val="19"/>
                <w:vertAlign w:val="superscript"/>
              </w:rPr>
              <w:t>(подпись)</w:t>
            </w:r>
          </w:p>
        </w:tc>
        <w:tc>
          <w:tcPr>
            <w:tcW w:w="0" w:type="auto"/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0" w:type="auto"/>
            <w:tcBorders>
              <w:top w:val="single" w:color="000000" w:sz="6" w:space="0"/>
              <w:left w:val="none" w:color="000000" w:sz="0" w:space="0"/>
              <w:bottom w:val="none" w:color="000000" w:sz="0" w:space="0"/>
              <w:right w:val="none" w:color="000000" w:sz="0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19"/>
                <w:szCs w:val="19"/>
                <w:vertAlign w:val="superscript"/>
              </w:rPr>
              <w:t>(Ф. И. О.)</w:t>
            </w:r>
          </w:p>
        </w:tc>
      </w:tr>
    </w:tbl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600"/>
      </w:tblPr>
      <w:tblGrid>
        <w:gridCol w:w="1440"/>
        <w:gridCol w:w="1440"/>
        <w:gridCol w:w="1440"/>
        <w:gridCol w:w="1440"/>
        <w:gridCol w:w="1440"/>
      </w:tblGrid>
      <w:tr>
        <w:trPr>
          <w:trHeight w:val="0"/>
        </w:trPr>
        <w:tc>
          <w:tcPr>
            <w:tcW w:w="0" w:type="auto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none" w:color="000000" w:sz="0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Главный энергетик</w:t>
            </w:r>
          </w:p>
        </w:tc>
        <w:tc>
          <w:tcPr>
            <w:tcW w:w="0" w:type="auto"/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/>
        </w:tc>
        <w:tc>
          <w:tcPr>
            <w:tcW w:w="0" w:type="auto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none" w:color="000000" w:sz="0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Иванов</w:t>
            </w:r>
          </w:p>
        </w:tc>
        <w:tc>
          <w:tcPr>
            <w:tcW w:w="0" w:type="auto"/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/>
        </w:tc>
        <w:tc>
          <w:tcPr>
            <w:tcW w:w="0" w:type="auto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none" w:color="000000" w:sz="0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Иванов В.И.</w:t>
            </w:r>
          </w:p>
        </w:tc>
      </w:tr>
      <w:tr>
        <w:trPr>
          <w:trHeight w:val="0"/>
        </w:trPr>
        <w:tc>
          <w:tcPr>
            <w:tcW w:w="0" w:type="auto"/>
            <w:tcBorders>
              <w:top w:val="single" w:color="000000" w:sz="6" w:space="0"/>
              <w:left w:val="none" w:color="000000" w:sz="0" w:space="0"/>
              <w:bottom w:val="none" w:color="000000" w:sz="0" w:space="0"/>
              <w:right w:val="none" w:color="000000" w:sz="0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19"/>
                <w:szCs w:val="19"/>
                <w:vertAlign w:val="superscript"/>
              </w:rPr>
              <w:t>(наименование должности)</w:t>
            </w:r>
          </w:p>
        </w:tc>
        <w:tc>
          <w:tcPr>
            <w:tcW w:w="0" w:type="auto"/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0" w:type="auto"/>
            <w:tcBorders>
              <w:top w:val="single" w:color="000000" w:sz="6" w:space="0"/>
              <w:left w:val="none" w:color="000000" w:sz="0" w:space="0"/>
              <w:bottom w:val="none" w:color="000000" w:sz="0" w:space="0"/>
              <w:right w:val="none" w:color="000000" w:sz="0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19"/>
                <w:szCs w:val="19"/>
                <w:vertAlign w:val="superscript"/>
              </w:rPr>
              <w:t>(подпись)</w:t>
            </w:r>
          </w:p>
        </w:tc>
        <w:tc>
          <w:tcPr>
            <w:tcW w:w="0" w:type="auto"/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0" w:type="auto"/>
            <w:tcBorders>
              <w:top w:val="single" w:color="000000" w:sz="6" w:space="0"/>
              <w:left w:val="none" w:color="000000" w:sz="0" w:space="0"/>
              <w:bottom w:val="none" w:color="000000" w:sz="0" w:space="0"/>
              <w:right w:val="none" w:color="000000" w:sz="0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19"/>
                <w:szCs w:val="19"/>
                <w:vertAlign w:val="superscript"/>
              </w:rPr>
              <w:t>(Ф. И. О.)</w:t>
            </w:r>
          </w:p>
        </w:tc>
      </w:tr>
    </w:tbl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С картой идентификации опасностей и оценки профессиональных рисков № </w:t>
      </w:r>
      <w:r>
        <w:rPr>
          <w:rFonts w:hAnsi="Times New Roman" w:cs="Times New Roman"/>
          <w:color w:val="000000"/>
          <w:sz w:val="24"/>
          <w:szCs w:val="24"/>
        </w:rPr>
        <w:t>8</w:t>
      </w:r>
      <w:r>
        <w:rPr>
          <w:rFonts w:hAnsi="Times New Roman" w:cs="Times New Roman"/>
          <w:color w:val="000000"/>
          <w:sz w:val="24"/>
          <w:szCs w:val="24"/>
        </w:rPr>
        <w:t> ознакомлен: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600"/>
      </w:tblPr>
      <w:tblGrid>
        <w:gridCol w:w="1440"/>
        <w:gridCol w:w="1440"/>
        <w:gridCol w:w="1440"/>
        <w:gridCol w:w="1440"/>
      </w:tblGrid>
      <w:tr>
        <w:trPr>
          <w:trHeight w:val="0"/>
        </w:trPr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№ п/п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Ф.И.О. работника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Подпись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Дата ознакомления</w:t>
            </w:r>
          </w:p>
        </w:tc>
      </w:tr>
      <w:tr>
        <w:trPr>
          <w:trHeight w:val="0"/>
        </w:trPr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1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Гриднев Михаил Игоревич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Гриднев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28.04.2022</w:t>
            </w:r>
          </w:p>
        </w:tc>
      </w:tr>
      <w:tr>
        <w:trPr>
          <w:trHeight w:val="0"/>
        </w:trPr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2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Иванов Констрантин Сергеевич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Иванов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28.04.2022</w:t>
            </w:r>
          </w:p>
        </w:tc>
      </w:tr>
      <w:tr>
        <w:trPr>
          <w:trHeight w:val="0"/>
        </w:trPr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3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</w:tr>
    </w:tbl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</w:p>
    <w:sectPr>
      <w:pgSz w:w="16839" w:h="11907" w:orient="landscape"/>
      <w:pgMar w:top="1440" w:right="1440" w:bottom="1440" w:left="1440" w:header="720" w:footer="720" w:gutter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Verdana">
    <w:panose1 w:val="020B0604030504040204"/>
    <w:charset w:val="00"/>
    <w:family w:val="swiss"/>
    <w:pitch w:val="variable"/>
    <w:sig w:usb0="A10006FF" w:usb1="4000205B" w:usb2="00000010" w:usb3="00000000" w:csb0="0000019F" w:csb1="00000000"/>
  </w:font>
</w:fonts>
</file>

<file path=word/numbering.xml><?xml version="1.0" encoding="utf-8"?>
<w:numbering xmlns:w="http://schemas.openxmlformats.org/wordprocessingml/2006/main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5A05CE"/>
    <w:rsid w:val="002D33B1"/>
    <w:rsid w:val="002D3591"/>
    <w:rsid w:val="003514A0"/>
    <w:rsid w:val="004F7E17"/>
    <w:rsid w:val="005A05CE"/>
    <w:rsid w:val="00653AF6"/>
    <w:rsid w:val="00B73A5A"/>
    <w:rsid w:val="00E438A1"/>
    <w:rsid w:val="00F01E1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before="100" w:beforeAutospacing="1" w:after="100" w:afterAutospacing="1" w:line="240" w:lineRule="auto"/>
        <!--<w:spacing w:before="100" w:beforeAutospacing="1" w:after="100" w:afterAutospacing="1" w:line="240" w:lineRule="auto"/>-->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4F7E17"/>
  </w:style>
  <w:style w:type="paragraph" w:styleId="Heading1">
    <w:name w:val="heading 1"/>
    <w:basedOn w:val="Normal"/>
    <w:next w:val="Normal"/>
    <w:link w:val="Heading1Char"/>
    <w:uiPriority w:val="9"/>
    <w:qFormat/>
    <w:rsid w:val="00B73A5A"/>
    <w:pPr>
      <w:keepNext/>
      <w:keepLines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73A5A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4F7E17"/>
    <w:pPr>
      <w:spacing w:before="100" w:beforeAutospacing="1" w:after="100" w:afterAutospacing="1" w:line="240" w:lineRule="auto"/>
    </w:pPr>
  </w:style>
  <w:style w:type="paragraph" w:styleId="Heading1">
    <w:name w:val="heading 1"/>
    <w:basedOn w:val="Normal"/>
    <w:next w:val="Normal"/>
    <w:link w:val="Heading1Char"/>
    <w:uiPriority w:val="9"/>
    <w:qFormat/>
    <w:rsid w:val="00B73A5A"/>
    <w:pPr>
      <w:keepNext/>
      <w:keepLines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73A5A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settings" Target="settings.xml" Id="rId3" /><Relationship Type="http://schemas.microsoft.com/office/2007/relationships/stylesWithEffects" Target="stylesWithEffects.xml" Id="rId2" /><Relationship Type="http://schemas.openxmlformats.org/officeDocument/2006/relationships/styles" Target="styles.xml" Id="rId1" /><Relationship Type="http://schemas.openxmlformats.org/officeDocument/2006/relationships/theme" Target="theme/theme1.xml" Id="rId6" /><Relationship Type="http://schemas.openxmlformats.org/officeDocument/2006/relationships/fontTable" Target="fontTable.xml" Id="rId5" /><Relationship Type="http://schemas.openxmlformats.org/officeDocument/2006/relationships/webSettings" Target="webSettings.xml" Id="rId4" /><Relationship Type="http://schemas.openxmlformats.org/officeDocument/2006/relationships/numbering" Target="/word/numbering.xml" Id="R38a402f4ca404d07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Times New Roman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0</Words>
  <Characters>0</Characters>
  <Application>Microsoft Office Word</Application>
  <DocSecurity>0</DocSecurity>
  <Lines>0</Lines>
  <Paragraphs>0</Paragraphs>
  <ScaleCrop>false</ScaleCrop>
  <Company/>
  <LinksUpToDate>false</LinksUpToDate>
  <CharactersWithSpaces>0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2011-11-02T04:15:00Z</dcterms:created>
  <dcterms:modified xsi:type="dcterms:W3CDTF">2012-05-05T09:54:00Z</dcterms:modified>
</cp:coreProperties>
</file>