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color w:val="000000"/>
          <w:sz w:val="24"/>
          <w:szCs w:val="24"/>
        </w:rPr>
        <w:t>Карта идентификации опасностей и оценки профессиональных рисков № </w:t>
      </w:r>
      <w:r>
        <w:rPr>
          <w:rFonts w:hAnsi="Times New Roman" w:cs="Times New Roman"/>
          <w:color w:val="000000"/>
          <w:sz w:val="24"/>
          <w:szCs w:val="24"/>
        </w:rPr>
        <w:t>21</w:t>
      </w:r>
    </w:p>
    <w:tbl>
      <w:tblPr>
        <w:tblW w:w="0" w:type="auto"/>
        <w:tblCellMar>
          <w:top w:w="15" w:type="dxa"/>
          <w:left w:w="15" w:type="dxa"/>
          <w:bottom w:w="15" w:type="dxa"/>
          <w:right w:w="15" w:type="dxa"/>
        </w:tblCellMar>
        <w:tblLook w:val="0600"/>
      </w:tblPr>
      <w:tblGrid>
        <w:gridCol w:w="1440"/>
        <w:gridCol w:w="1440"/>
        <w:gridCol w:w="1440"/>
        <w:gridCol w:w="1440"/>
        <w:gridCol w:w="1440"/>
      </w:tblGrid>
      <w:tr>
        <w:trPr>
          <w:trHeight w:val="0"/>
        </w:trPr>
        <w:tc>
          <w:tcPr>
            <w:tcW w:w="0" w:type="auto"/>
            <w:tcMar>
              <w:top w:w="75" w:type="dxa"/>
              <w:left w:w="75" w:type="dxa"/>
              <w:bottom w:w="75" w:type="dxa"/>
              <w:right w:w="75" w:type="dxa"/>
            </w:tcMar>
            <w:vAlign w:val="top"/>
          </w:tcPr>
          <w:p>
            <w:r>
              <w:rPr>
                <w:rFonts w:hAnsi="Times New Roman" w:cs="Times New Roman"/>
                <w:color w:val="000000"/>
                <w:sz w:val="24"/>
                <w:szCs w:val="24"/>
              </w:rPr>
              <w:t>Наименование структурного подразделения</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Клинико-диагностическая лаборатория</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hAnsi="Times New Roman" w:cs="Times New Roman"/>
                <w:color w:val="000000"/>
                <w:sz w:val="24"/>
                <w:szCs w:val="24"/>
              </w:rPr>
              <w:t>Наименование должности (профессии)</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Лаборант клинико-диагностической лаборатории</w:t>
            </w:r>
          </w:p>
        </w:tc>
      </w:tr>
      <w:tr>
        <w:trPr>
          <w:trHeight w:val="0"/>
        </w:trPr>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Mar>
              <w:top w:w="75" w:type="dxa"/>
              <w:left w:w="75" w:type="dxa"/>
              <w:bottom w:w="75" w:type="dxa"/>
              <w:right w:w="75" w:type="dxa"/>
            </w:tcMar>
            <w:vAlign w:val="top"/>
          </w:tcPr>
          <w:p>
            <w:r>
              <w:rPr>
                <w:rFonts w:hAnsi="Times New Roman" w:cs="Times New Roman"/>
                <w:color w:val="000000"/>
                <w:sz w:val="24"/>
                <w:szCs w:val="24"/>
              </w:rPr>
              <w:t>Дата оценки</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09.01.2023</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tbl>
      <w:tblPr>
        <w:tblW w:w="0" w:type="auto"/>
        <w:tblCellMar>
          <w:top w:w="15" w:type="dxa"/>
          <w:left w:w="15" w:type="dxa"/>
          <w:bottom w:w="15" w:type="dxa"/>
          <w:right w:w="15" w:type="dxa"/>
        </w:tblCellMar>
        <w:tblLook w:val="0600"/>
      </w:tblPr>
      <w:tblGrid>
        <w:gridCol w:w="1440"/>
        <w:gridCol w:w="1440"/>
        <w:gridCol w:w="1440"/>
        <w:gridCol w:w="1440"/>
        <w:gridCol w:w="1440"/>
        <w:gridCol w:w="1440"/>
        <w:gridCol w:w="1440"/>
        <w:gridCol w:w="1440"/>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Наименование опасности,</w:t>
            </w:r>
            <w:r>
              <w:br/>
            </w:r>
            <w:r>
              <w:rPr>
                <w:rFonts w:hAnsi="Times New Roman" w:cs="Times New Roman"/>
                <w:color w:val="000000"/>
                <w:sz w:val="24"/>
                <w:szCs w:val="24"/>
              </w:rPr>
              <w:t>опасного события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Наименование оборудования — потенциального источника причинения травмы</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Последствия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Тяжесть</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Вероятность</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Индекс риска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Уровень риска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Существующие меры управления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Заключение</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Мероприятия по снижению риска</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Опасность из-за контакта с патогенными микроорганизмами</w:t>
            </w:r>
          </w:p>
          <w:p>
            <w:pPr>
              <w:spacing w:line="240" w:lineRule="auto"/>
              <w:rPr>
                <w:rFonts w:hAnsi="Times New Roman" w:cs="Times New Roman"/>
                <w:color w:val="000000"/>
                <w:sz w:val="24"/>
                <w:szCs w:val="24"/>
              </w:rPr>
            </w:pPr>
            <w:r>
              <w:rPr>
                <w:rFonts w:hAnsi="Times New Roman" w:cs="Times New Roman"/>
                <w:color w:val="000000"/>
                <w:sz w:val="24"/>
                <w:szCs w:val="24"/>
              </w:rPr>
              <w:t>Заболевание работника, связанное с воздействием патогенных микроорганизмов</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Патогенные микроорганизмы — возбудители инфекционных заболеваний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Травмы различной степени тяжести, утрата трудоспособности, летальный исход</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8</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Средний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Соблюдение требований охраны труда и санитарно-гигиенических требований. Беспрепятственный доступ к аптечке, повышенное внимание. Соблюдение установленных регламентированных перерывов в течение рабочей смены. Применение СИЗ, контроль применения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Допустимый риск</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Организация общих профилактических мероприятий</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Опасность заражения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Патогенные микроорганизмы — возбудители инфекционных заболеваний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Травмы различной степени тяжести, утрата трудоспособности, летальный исход</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8</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Средний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Соблюдение требований охраны труда и санитарно-гигиенических требований. Беспрепятственный доступ к аптечке, повышенное внимание. Соблюдение установленных регламентированных перерывов в течение рабочей смены. Применение СИЗ, контроль применения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Допустимый риск</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Организация общих профилактических мероприятий</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3</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Опасность порезов, проколов острыми кромками инструментов, загрязненных биологическим материалом</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Инструмент, оборудование</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Травмы различной степени тяжести</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3</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6</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Средний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Соблюдение требований охраны труда и санитарно-гигиенических требований. Беспрепятственный доступ к аптечке, повышенное внимание. Соблюдение установленных регламентированных перерывов в течение рабочей смены. Применение СИЗ, контроль применения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Допустимый риск</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Организация общих профилактических мероприятий</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Опасность контакта с кровью и другими биологическими жидкостями</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Кровь, биологические жидкости</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Травмы различной степени тяжести, утрата трудоспособности, летальный исход</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3</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6</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Средний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Соблюдение требований охраны труда и санитарно-гигиенических требований. Беспрепятственный доступ к аптечке, повышенное внимание. Соблюдение установленных регламентированных перерывов в течение рабочей смены. Применение СИЗ, контроль применения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Допустимый риск</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Организация общих профилактических мероприятий</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5</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Опасность физических перегрузок при чрезмерных физических усилиях при подъеме предметов и деталей, при перемещении предметов и деталей, при стереотипных рабочих движениях и при статических нагрузках, при неудобной рабочей позе, в том числе при наклонах корпуса тела работника более чем на 30°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Человеческий фактор, положение в пространстве при общей нагрузке (с участием мышц рук, корпуса, ног). Подъем и перемещение тяжестей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Травмы различной степени тяжести, случаи временной нетрудоспособности</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Повреждение костно-мышечного аппарата работника при физических перегрузках</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3</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6</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Средний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Соблюдение режимов труда и отдыха. Не допускается поднимать и переносить груз весом, превышающим предельно допустимые нормы</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Допустимый риск</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Контроль за соблюдением режимов труда и отдыха</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6</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Опасность насилия от враждебно-настроенных работников/третьих лиц</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Противоправные действия со стороны пациентов, их родственников и третьих лиц</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Травмы различной степени тяжести, утрата трудоспособности, летальный исход</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3</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6</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Средний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Избегание конфликтов с пациентами, их родственниками и третьими лицами</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Допустимый риск</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Обучение сотрудников методам выхода из конфликтных ситуаций. Организация видеонаблюдения за рабочей зоной</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7</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Опасность вредных химических веществ в воздухе рабочей зоны</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Химические вещества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Отравление воздушными взвесями вредных химических веществ в воздухе рабочей зоны</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3</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6</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Средний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Использование средств контроля за организацией технологического процесса, в том числе дистанционных и автоматических. Применение средств коллективной защиты, направленных на экранирование, изоляцию работника от воздействия факторов, в том числе вентиляции. Применение систем аварийной остановки производственных процессов, предотвращающих наступление неблагоприятных последствий. Удаление воздуха из помещений системами вентиляции способом, исключающим прохождение его через зону дыхания работающих на постоянных рабочих местах. Использование СИЗ, контроль применения.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Допустимый риск</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Регулярное техническое обслуживание и ремонт технологического оборудования, инструмента и приспособлений. Своевременное удаление и обезвреживание отходов</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8</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Воздействие химических веществ на кожу</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Химические вещества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Заболевания кожи (дерматиты) при воздействии химических веществ</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3</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6</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Средний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Использование средств контроля за организацией технологического процесса, в том числе дистанционных и автоматических. Применение средств коллективной защиты, направленных на экранирование, изоляцию работника от воздействия факторов, в том числе вентиляции. Применение систем аварийной остановки производственных процессов, предотвращающих наступление неблагоприятных последствий. Удаление воздуха из помещений системами вентиляции способом, исключающим прохождение его через зону дыхания работающих на постоянных рабочих местах. Использование СИЗ, контроль применения.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Допустимый риск</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Регулярное техническое обслуживание и ремонт технологического оборудования, инструмента и приспособлений. Своевременное удаление и обезвреживание отходов</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9</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Воздействие химических веществ на глаза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Химические вещества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Травма оболочек и роговицы глаза при воздействии химических веществ</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3</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6</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Средний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Использование средств контроля за организацией технологического процесса, в том числе дистанционных и автоматических. Применение средств коллективной защиты, направленных на экранирование, изоляцию работника от воздействия факторов, в том числе вентиляции. Применение систем аварийной остановки производственных процессов, предотвращающих наступление неблагоприятных последствий. Удаление воздуха из помещений системами вентиляции способом, исключающим прохождение его через зону дыхания работающих на постоянных рабочих местах. Использование СИЗ, контроль применения.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Допустимый риск</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Регулярное техническое обслуживание и ремонт технологического оборудования, инструмента и приспособлений. Своевременное удаление и обезвреживание отходов</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10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контакта с токоведущими частями, которые находятся под напряжением из-за неисправного состояния (косвенный контакт)</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Оборудование</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Травмы различной степени тяжести</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Низкий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 xml:space="preserve">Наличие защитного заземления. Безопасное расположение токоведущих частей. Периодическое проведение испытаний и измерений сопротивления изоляции проводов, кабелей и заземляющих устройств.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Допустимый риск</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Проверка работником исправности оборудования и правильность его подключения в электросеть перед началом работ</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11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Опасность от вдыхания дыма, паров вредных газов и пыли при пожаре</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Пожар</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Травмы различной степени тяжести, утрата трудоспособности, летальный исход</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Низкий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Системы дымоудаления, приобретение огнетушителей, их маркировка, своевременная замена при окончании срока эксплуатации. Противопожарная сигнализация в помещениях и проведение её систематических испытаний. Размещение плана эвакуации при пожаре в общедоступном месте, а также знаков, направляющих к эвакуационному выходу</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Допустимый риск</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Проведение</w:t>
            </w:r>
          </w:p>
          <w:p>
            <w:pPr>
              <w:spacing w:line="240" w:lineRule="auto"/>
              <w:rPr>
                <w:rFonts w:hAnsi="Times New Roman" w:cs="Times New Roman"/>
                <w:color w:val="000000"/>
                <w:sz w:val="24"/>
                <w:szCs w:val="24"/>
              </w:rPr>
            </w:pPr>
            <w:r>
              <w:rPr>
                <w:rFonts w:hAnsi="Times New Roman" w:cs="Times New Roman"/>
                <w:color w:val="000000"/>
                <w:sz w:val="24"/>
                <w:szCs w:val="24"/>
              </w:rPr>
              <w:t>тренировок персонала по эвакуации и противопожарных инструктажей, в соответствии с графиком</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12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Опасность воздействия открытого пламени</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Пожар</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Травмы различной степени тяжести, утрата трудоспособности, летальный исход</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Низкий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Системы дымоудаления, приобретение огнетушителей, их маркировка, своевременная замена при окончании срока эксплуатации. Противопожарная сигнализация в помещениях и проведение её систематических испытаний. Размещение плана эвакуации при пожаре в общедоступном месте, а также знаков, направляющих к эвакуационному выходу</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Допустимый риск</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Проведение</w:t>
            </w:r>
          </w:p>
          <w:p>
            <w:pPr>
              <w:spacing w:line="240" w:lineRule="auto"/>
              <w:rPr>
                <w:rFonts w:hAnsi="Times New Roman" w:cs="Times New Roman"/>
                <w:color w:val="000000"/>
                <w:sz w:val="24"/>
                <w:szCs w:val="24"/>
              </w:rPr>
            </w:pPr>
            <w:r>
              <w:rPr>
                <w:rFonts w:hAnsi="Times New Roman" w:cs="Times New Roman"/>
                <w:color w:val="000000"/>
                <w:sz w:val="24"/>
                <w:szCs w:val="24"/>
              </w:rPr>
              <w:t>тренировок персонала по эвакуации и противопожарных инструктажей, в соответствии с графиком</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13</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Опасность воздействия пониженной концентрации кислорода в воздухе</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Пожар</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Травмы различной степени тяжести, утрата трудоспособности, летальный исход</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Низкий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Системы дымоудаления, приобретение огнетушителей, их маркировка, своевременная замена при окончании срока эксплуатации. Противопожарная сигнализация в помещениях и проведение её систематических испытаний. Размещение плана эвакуации при пожаре в общедоступном месте, а также знаков, направляющих к эвакуационному выходу</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Допустимый риск</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Проведение</w:t>
            </w:r>
          </w:p>
          <w:p>
            <w:pPr>
              <w:spacing w:line="240" w:lineRule="auto"/>
              <w:rPr>
                <w:rFonts w:hAnsi="Times New Roman" w:cs="Times New Roman"/>
                <w:color w:val="000000"/>
                <w:sz w:val="24"/>
                <w:szCs w:val="24"/>
              </w:rPr>
            </w:pPr>
            <w:r>
              <w:rPr>
                <w:rFonts w:hAnsi="Times New Roman" w:cs="Times New Roman"/>
                <w:color w:val="000000"/>
                <w:sz w:val="24"/>
                <w:szCs w:val="24"/>
              </w:rPr>
              <w:t>тренировок персонала по эвакуации и противопожарных инструктажей, в соответствии с графиком</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14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Опасность травмирования, в том числе снегом и (или) льдом, упавшими с крыш зданий и сооружений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Скопление снега и сосулек на кровле здания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Травмы различной степени тяжести, утрата трудоспособности, летальный исход</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Низкий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Установка ограждений, сигнальных знаков, своевременная очистка крыш</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Допустимый риск</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Контроль за состоянием крыш</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15</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 xml:space="preserve">Территория организации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Незначительные травмы, случаи ухудшения здоровья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 xml:space="preserve"> 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 xml:space="preserve"> 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 xml:space="preserve"> 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 xml:space="preserve"> Низкий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Использование антигололедных средств для обработки уличных дорог и пешеходных зон. Применение в зоне входной группы противоскользящих покрытий пола. Организация мытья полов во время отсутствия работников на рабочих местах</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Допустимый риск</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Дополнительные меры управления не требуются</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16</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Опасность падения с высоты при передвижении по лестничным пролетам (лестницам)</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Лестничные пролеты, лестницы</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Травмы, требующие медицинского вмешательства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 xml:space="preserve"> 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 xml:space="preserve"> 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 xml:space="preserve"> 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 xml:space="preserve"> Низкий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Использование ограждений, сигнальных знаков. Использование антискользящих накладок на ступени со светоотражающими полосками</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Допустимый риск</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Дополнительные меры управления не требуются</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17</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Опасность недостаточной освещенности в рабочей зоне</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 xml:space="preserve"> Система освещения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Незначительные травмы, случаи ухудшения здоровья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 xml:space="preserve"> 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 xml:space="preserve"> 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 xml:space="preserve"> 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 xml:space="preserve"> Низкий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Установка осветительных приборов общего и локального освещения, позволяющих поддерживать комфортное состояние зрительного аппарата работника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Допустимый риск</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Обеспечение достаточной освещенности рабочей зоны. Организация своевременной замены перегоревших ламп в светильниках</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18</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Опасность пореза частей тела, в том числе кромкой листа бумаги, канцелярским ножом, ножницами, острыми кромками</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Бумага, канцелярские принадлежности</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Незначительные травмы, случаи ухудшения здоровья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 xml:space="preserve"> 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 xml:space="preserve"> 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 xml:space="preserve"> 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Низкий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Мер по снижению риска не предусмотрено, риск управлению не подлежит</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Допустимый риск</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Дополнительные меры управления не требуются</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 xml:space="preserve"> 19</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Опасность перенапряжения зрительного анализатора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 xml:space="preserve"> ПК, оборудование, инструмент</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Незначительные травмы, случаи ухудшения здоровья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Низкий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Соблюдение установленных регламентированных перерывов в течение рабочей смены.Установка осветительных приборов общего и локального освещения, позволяющих поддерживать комфортное состояние зрительного аппарата работника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Допустимый риск</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Обеспечение достаточной освещенности рабочей зоны. Организация своевременной замены перегоревших ламп в светильниках</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20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Опасность психических нагрузок, стрессов</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Человеческий фактор, высокая нагрузка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Незначительные травмы, случаи ухудшения здоровья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 xml:space="preserve"> 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 xml:space="preserve"> 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 xml:space="preserve"> 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 xml:space="preserve"> Низкий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Соблюдение установленных регламентированных перерывов в течение рабочей смены</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Допустимый риск</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Дополнительные меры управления не требуются</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21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Опасность воздействия на кожные покровы чистящих и обезжиривающих веществ</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Чистящие и обезжиривающие вещества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Незначительные травмы, случаи ухудшения здоровья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Низкий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Беспрепятственный доступ к аптечке, повышенное внимание. Соблюдение установленных регламентированных перерывов в течение рабочей смены. Обеспечение работника СИЗ, контроль применения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Допустимый риск</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Раздача памяток работникам</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22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Опасность воздействия на органы дыхания воздушных смесей, содержащих чистящие и обезжиривающие вещества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Чистящие и обезжиривающие вещества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Незначительные травмы, случаи ухудшения здоровья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Низкий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Беспрепятственный доступ к аптечке, повышенное внимание. Соблюдение установленных регламентированных перерывов в течение рабочей смены. Обеспечение работника СИЗ, контроль применения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Допустимый риск</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Раздача памяток работникам</w:t>
            </w:r>
          </w:p>
        </w:tc>
      </w:tr>
    </w:tbl>
    <w:p>
      <w:pPr>
        <w:spacing w:line="240" w:lineRule="auto"/>
        <w:rPr>
          <w:rFonts w:hAnsi="Times New Roman" w:cs="Times New Roman"/>
          <w:color w:val="000000"/>
          <w:sz w:val="24"/>
          <w:szCs w:val="24"/>
        </w:rPr>
      </w:pPr>
      <w:r>
        <w:rPr>
          <w:rFonts w:hAnsi="Times New Roman" w:cs="Times New Roman"/>
          <w:color w:val="000000"/>
          <w:sz w:val="24"/>
          <w:szCs w:val="24"/>
        </w:rPr>
        <w:t>Карту идентификации опасностей и оценки профессиональных рисков составили:</w:t>
      </w:r>
    </w:p>
    <w:tbl>
      <w:tblPr>
        <w:tblW w:w="0" w:type="auto"/>
        <w:tblCellMar>
          <w:top w:w="15" w:type="dxa"/>
          <w:left w:w="15" w:type="dxa"/>
          <w:bottom w:w="15" w:type="dxa"/>
          <w:right w:w="15" w:type="dxa"/>
        </w:tblCellMar>
        <w:tblLook w:val="0600"/>
      </w:tblPr>
      <w:tblGrid>
        <w:gridCol w:w="1440"/>
        <w:gridCol w:w="1440"/>
        <w:gridCol w:w="1440"/>
        <w:gridCol w:w="1440"/>
        <w:gridCol w:w="1440"/>
      </w:tblGrid>
      <w:tr>
        <w:trPr>
          <w:trHeight w:val="0"/>
        </w:trPr>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Главный инженер</w:t>
            </w:r>
          </w:p>
        </w:tc>
        <w:tc>
          <w:tcPr>
            <w:tcW w:w="0" w:type="auto"/>
            <w:tcMar>
              <w:top w:w="75" w:type="dxa"/>
              <w:left w:w="75" w:type="dxa"/>
              <w:bottom w:w="75" w:type="dxa"/>
              <w:right w:w="75" w:type="dxa"/>
            </w:tcMar>
            <w:vAlign w:val="top"/>
          </w:tcP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Соколов</w:t>
            </w:r>
          </w:p>
        </w:tc>
        <w:tc>
          <w:tcPr>
            <w:tcW w:w="0" w:type="auto"/>
            <w:tcMar>
              <w:top w:w="75" w:type="dxa"/>
              <w:left w:w="75" w:type="dxa"/>
              <w:bottom w:w="75" w:type="dxa"/>
              <w:right w:w="75" w:type="dxa"/>
            </w:tcMar>
            <w:vAlign w:val="top"/>
          </w:tcP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Соколов Д.И.</w:t>
            </w:r>
          </w:p>
        </w:tc>
      </w:tr>
      <w:tr>
        <w:trPr>
          <w:trHeight w:val="0"/>
        </w:trPr>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(наименование должности)</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(подпись)</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(Ф. И. О.)</w:t>
            </w:r>
          </w:p>
        </w:tc>
      </w:tr>
    </w:tbl>
    <w:tbl>
      <w:tblPr>
        <w:tblW w:w="0" w:type="auto"/>
        <w:tblCellMar>
          <w:top w:w="15" w:type="dxa"/>
          <w:left w:w="15" w:type="dxa"/>
          <w:bottom w:w="15" w:type="dxa"/>
          <w:right w:w="15" w:type="dxa"/>
        </w:tblCellMar>
        <w:tblLook w:val="0600"/>
      </w:tblPr>
      <w:tblGrid>
        <w:gridCol w:w="1440"/>
        <w:gridCol w:w="1440"/>
        <w:gridCol w:w="1440"/>
        <w:gridCol w:w="1440"/>
        <w:gridCol w:w="1440"/>
      </w:tblGrid>
      <w:tr>
        <w:trPr>
          <w:trHeight w:val="0"/>
        </w:trPr>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Специалист по охране труда</w:t>
            </w:r>
          </w:p>
        </w:tc>
        <w:tc>
          <w:tcPr>
            <w:tcW w:w="0" w:type="auto"/>
            <w:tcMar>
              <w:top w:w="75" w:type="dxa"/>
              <w:left w:w="75" w:type="dxa"/>
              <w:bottom w:w="75" w:type="dxa"/>
              <w:right w:w="75" w:type="dxa"/>
            </w:tcMar>
            <w:vAlign w:val="top"/>
          </w:tcP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Петров</w:t>
            </w:r>
          </w:p>
        </w:tc>
        <w:tc>
          <w:tcPr>
            <w:tcW w:w="0" w:type="auto"/>
            <w:tcMar>
              <w:top w:w="75" w:type="dxa"/>
              <w:left w:w="75" w:type="dxa"/>
              <w:bottom w:w="75" w:type="dxa"/>
              <w:right w:w="75" w:type="dxa"/>
            </w:tcMar>
            <w:vAlign w:val="top"/>
          </w:tcP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Петров А.С.</w:t>
            </w:r>
          </w:p>
        </w:tc>
      </w:tr>
      <w:tr>
        <w:trPr>
          <w:trHeight w:val="0"/>
        </w:trPr>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(наименование должности)</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(подпись)</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(Ф. И. О.)</w:t>
            </w:r>
          </w:p>
        </w:tc>
      </w:tr>
    </w:tbl>
    <w:tbl>
      <w:tblPr>
        <w:tblW w:w="0" w:type="auto"/>
        <w:tblCellMar>
          <w:top w:w="15" w:type="dxa"/>
          <w:left w:w="15" w:type="dxa"/>
          <w:bottom w:w="15" w:type="dxa"/>
          <w:right w:w="15" w:type="dxa"/>
        </w:tblCellMar>
        <w:tblLook w:val="0600"/>
      </w:tblPr>
      <w:tblGrid>
        <w:gridCol w:w="1440"/>
        <w:gridCol w:w="1440"/>
        <w:gridCol w:w="1440"/>
        <w:gridCol w:w="1440"/>
        <w:gridCol w:w="1440"/>
      </w:tblGrid>
      <w:tr>
        <w:trPr>
          <w:trHeight w:val="0"/>
        </w:trPr>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Главный врач</w:t>
            </w:r>
          </w:p>
        </w:tc>
        <w:tc>
          <w:tcPr>
            <w:tcW w:w="0" w:type="auto"/>
            <w:tcMar>
              <w:top w:w="75" w:type="dxa"/>
              <w:left w:w="75" w:type="dxa"/>
              <w:bottom w:w="75" w:type="dxa"/>
              <w:right w:w="75" w:type="dxa"/>
            </w:tcMar>
            <w:vAlign w:val="top"/>
          </w:tcP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Иванов</w:t>
            </w:r>
          </w:p>
        </w:tc>
        <w:tc>
          <w:tcPr>
            <w:tcW w:w="0" w:type="auto"/>
            <w:tcMar>
              <w:top w:w="75" w:type="dxa"/>
              <w:left w:w="75" w:type="dxa"/>
              <w:bottom w:w="75" w:type="dxa"/>
              <w:right w:w="75" w:type="dxa"/>
            </w:tcMar>
            <w:vAlign w:val="top"/>
          </w:tcP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Иванов В.И.</w:t>
            </w:r>
          </w:p>
        </w:tc>
      </w:tr>
      <w:tr>
        <w:trPr>
          <w:trHeight w:val="0"/>
        </w:trPr>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(наименование должности)</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(подпись)</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(Ф. И. О.)</w:t>
            </w:r>
          </w:p>
        </w:tc>
      </w:tr>
    </w:tbl>
    <w:p>
      <w:pPr>
        <w:spacing w:line="240" w:lineRule="auto"/>
        <w:rPr>
          <w:rFonts w:hAnsi="Times New Roman" w:cs="Times New Roman"/>
          <w:color w:val="000000"/>
          <w:sz w:val="24"/>
          <w:szCs w:val="24"/>
        </w:rPr>
      </w:pPr>
      <w:r>
        <w:rPr>
          <w:rFonts w:hAnsi="Times New Roman" w:cs="Times New Roman"/>
          <w:color w:val="000000"/>
          <w:sz w:val="24"/>
          <w:szCs w:val="24"/>
        </w:rPr>
        <w:t xml:space="preserve">С картой идентификации опасностей и оценки профессиональных рисков № </w:t>
      </w:r>
      <w:r>
        <w:rPr>
          <w:rFonts w:hAnsi="Times New Roman" w:cs="Times New Roman"/>
          <w:color w:val="000000"/>
          <w:sz w:val="24"/>
          <w:szCs w:val="24"/>
        </w:rPr>
        <w:t>21</w:t>
      </w:r>
      <w:r>
        <w:rPr>
          <w:rFonts w:hAnsi="Times New Roman" w:cs="Times New Roman"/>
          <w:color w:val="000000"/>
          <w:sz w:val="24"/>
          <w:szCs w:val="24"/>
        </w:rPr>
        <w:t> ознакомлен:</w:t>
      </w:r>
    </w:p>
    <w:tbl>
      <w:tblPr>
        <w:tblW w:w="0" w:type="auto"/>
        <w:tblCellMar>
          <w:top w:w="15" w:type="dxa"/>
          <w:left w:w="15" w:type="dxa"/>
          <w:bottom w:w="15" w:type="dxa"/>
          <w:right w:w="15" w:type="dxa"/>
        </w:tblCellMar>
        <w:tblLook w:val="0600"/>
      </w:tblPr>
      <w:tblGrid>
        <w:gridCol w:w="1440"/>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 п/п</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Ф.И.О. работника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Подпись</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Дата ознакомления</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Гриднева Екатерина Игоревна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Гриднева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10.01.2023</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240" w:lineRule="auto"/>
        <w:rPr>
          <w:rFonts w:hAnsi="Times New Roman" w:cs="Times New Roman"/>
          <w:color w:val="000000"/>
          <w:sz w:val="24"/>
          <w:szCs w:val="24"/>
        </w:rPr>
      </w:pPr>
    </w:p>
    <w:sectPr>
      <w:pgSz w:w="16839" w:h="11907" w:orient="landscape"/>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8b8157f50d7c49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