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numbering.xml" ContentType="application/vnd.openxmlformats-officedocument.wordprocessingml.numbering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line="240" w:lineRule="auto"/>
        <w:jc w:val="center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Карта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</w:p>
    <w:tbl>
      <w:tblPr>
        <w:tblW w:w="8665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структурного подразделения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Цех № 1 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должности (профессии)</w:t>
            </w:r>
          </w:p>
        </w:tc>
        <w:tc>
          <w:tcPr>
            <w:tcW w:w="2513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Оператор ленточнопильного оборудования</w:t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оценки</w:t>
            </w:r>
          </w:p>
        </w:tc>
        <w:tc>
          <w:tcPr>
            <w:tcW w:w="2426" w:type="dxa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17.02.2025</w:t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  <w:tr>
        <w:trPr>
          <w:trHeight w:val="0"/>
        </w:trPr>
        <w:tc>
          <w:tcPr>
            <w:tcW w:w="15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426" w:type="dxa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9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73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2513" w:type="dxa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опасности,</w:t>
            </w:r>
            <w:r>
              <w:br/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опасного события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Наименование оборудования — потенциального источника причинения травмы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Последствия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Тяжесть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Вероятность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Индекс риска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Уровень риска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Существующие меры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Заключение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center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Мероприятия по снижению риска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поражения током вследствие контакта с токоведущими частями, которые находятся под напряжением из-за неисправного состояния (косвенный контакт)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  <w:r>
              <w:rPr>
                <w:rFonts w:hAnsi="Times New Roman" w:cs="Times New Roman"/>
                <w:color w:val="000000"/>
                <w:sz w:val="24"/>
                <w:szCs w:val="24"/>
              </w:rPr>
              <w:t>, бытовые электроприборы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Периодическое проведение испытаний и измерений сопротивления изоляции проводов, кабелей и заземляющих устройств. Наличие защитного заземления. Безопасное расположение токоведущих частей. Периодическое проведение испытаний и измерений сопротивления изоляции проводов, кабелей и заземляющих устройств. Защитные ограждения (временные или стационарные). Безопасное расположение токоведущих частей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Проверка работником исправности оборудования и правильность его подключения в электросеть перед началом работ. 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Применение СИЗ, соблюдение требований охраны труда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подвижных частей машин и механизмов 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Удары, порезы, проколы, уколы, затягивания, наматывания, абразивные воздействия подвижными частями оборудования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разлетающихся частиц, осколков рабочих частей инструмента, в том числе при устранении возникших неисправностей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Стружка, осколки режущего инструмента и частицы абразива, оборудование и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повышенного уровня шума и другие неблагоприятные характеристики шума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смены. Использование оборудования в соответствии с его назначением. Своевременный ремонт оборудования 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соблюдением режимов труда и 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физических перегрузок при чрезмерных физических усилиях при подъеме предметов и деталей, при перемещении предметов и деталей, при стереотипных рабочих движениях и при статических нагрузках, при неудобной рабочей позе, в том числе при наклонах корпуса тела работника более чем на 30°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Повреждение костно-мышечного аппарата работника при физических перегрузках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положение в пространстве при общей нагрузке (с участием мышц рук, корпуса, ног). Подъем и перемещение тяжестей крупногабаритных деталей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случаи временной нетрудоспособности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 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Соблюдение режимов труда и отдыха. Не допускается поднимать и переносить груз весом, превышающим предельно допустимые нормы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кожу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Пылевые частицы обрабатываемого материла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пыли на глаза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Пылевые частицы обрабатываемого материла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6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Средний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состоянием поверхностей, своевременная уборка. Использование СИЗ и контроль применения.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 соблюдением режимов труда и отдыха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Воздействие общей вибрации на тело работника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документации. Уменьшение вибрации на пути распространения средствами виброизоляции и вибропоглощения, применения дистанционного или автоматического управления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от вдыхания дыма, паров вредных газов и пыли при пожаре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открытого пламени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пониженной концентрации кислорода в воздухе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Пожар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Системы дымоудаления, приобретение огнетушителей, их маркировка, своевременная замена при окончании срока эксплуатации. Противопожарная сигнализация в помещениях и проведение её систематических испытаний. Размещение плана эвакуации при пожаре в общедоступном месте, а также знаков, направляющих к эвакуационному выходу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Проведение</w:t>
            </w:r>
          </w:p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тренировок персонала по эвакуации и противопожарных инструктажей, в соответствии с графиком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травмирования, в том числе снегом и (или) льдом, упавшими с крыш зданий и сооружений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Скопление снега и сосулек на кровле здания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 различной степени тяжести, утрата трудоспособности, летальный исход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ограждений, сигнальных знаков, своевременная очистка крыш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Контроль за состоянием крыш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незапланированного отключения электроэнергии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выхода параметров оборудования за нормативные пределы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Повышенное внимание. Предупредительные знаки, ограждения, аварийная остановка. Обеспечение работника СИЗ, контроль применения. Своевременная проверка оборудования, механизмов, обслуживание и плановые ремонты. При устранении неполадок, повреждений: предупредительные знаки, ограждения, аварийная остановка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выполнением работ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материалов, изделий, деталей, инструментов и других предметов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 и 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достаточного уровня освещенности и контрастности на рабочих местах (в рабочих зонах): уровня освещения, контраста, отсутствия иллюзий восприятия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Защита опасных зон от несанкционированного доступа. Размещение маркированных ограждений и/или уведомлений (знаки, таблички, объявления)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16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из-за потери равновесия, в том числе при спотыкании или подскальзывании, при передвижении по скользким поверхностям или мокрым полам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Территория организации 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антигололедных средств для обработки уличных дорог и пешеходных зон. Применение в зоне входной группы противоскользящих покрытий пола. Организация мытья полов во время отсутствия работников на рабочих местах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падения с высоты при передвижении по лестничным пролетам (лестницам)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Лестничные пролеты, лестницы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Травмы, требующие медицинского вмешательства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ограждений, сигнальных знаков. Использование антискользящих накладок на ступени со светоотражающими полосками. Правильная организация уборки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18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недостаточной освещенности в рабочей зоне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 локального освещения, позволяющих поддерживать комфортное состояние зрительного аппарата работника. Соблюдение режимов труда и 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Обеспечение достаточной освещенности рабочей зоны. Организация своевременной замены перегоревших ламп в светильниках. 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19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повышенной яркости света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Территория организации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осветительных приборов общего и локального освещения, позволяющих поддерживать комфортное состояние зрительного аппарата работника. Соблюдение режимов труда и отдыха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Обеспечение достаточной освещенности рабочей зоны. Организация своевременной замены перегоревших ламп в светильниках. 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20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удара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правил транспортировки, эксплуатации инструмента, механизмов, оборудования. Обеспечение безопасной эксплуатации технологического оборудования, а также контроль за соблюдением требований Правил. Своевременная проверка оборудования, механизмов, обслуживание и плановые ремонты. При устранении неполадок, повреждений: предупредительные знаки, ограждения, аварийная остановка. Обеспечение работника СИЗ, контроль применения. Применение оборудования по назначению, согласно комплекту технологической и эксплуатационно-технической документации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 состоянием и безопасной эксплуатацией оборудования. Раздача памяток работникам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21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кожные покровы чистящих и обезжиривающих веществ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22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воздействия на органы дыхания воздушных смесей, содержащих чистящие и обезжиривающие вещества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Чистящие и обезжиривающие вещества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Использование станков и инструментов для механической обработки материалов и изделий, сопровождающихся выделением газов, паров и аэрозолей, совместно с системами удаления указанных веществ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Установка в рабочих помещениях гидрантов, фонтанчиков с автоматическим включением или душа для немедленного смывания химических веществ, обладающих раздражающим действием, при их попадании на кожные покровы и слизистые оболочки глаз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23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запутаться, в том числе в растянутых по полу сварочных проводах, тросах, нитях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Поддержание порядка на рабочем месте. Обеспечение безопасной эксплуатации технологического оборудования, а также контроль за соблюдением требований. 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Определение круга лиц, осуществляющих контроль за порядком на рабочем месте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24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пореза частей тела, в том числе кромкой листа бумаги, канцелярским ножом, ножницами, острыми кромками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Бумага, канцелярские принадлежности, оборудование, инструмент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jc w:val="center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Мер по снижению риска не предусмотрено, риск управлению не подлежит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  <w:tr>
        <w:trPr>
          <w:trHeight w:val="0"/>
        </w:trPr>
        <w:tc>
          <w:tcPr>
            <w:tcW w:w="180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25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Опасность психических нагрузок, стрессов</w:t>
            </w:r>
          </w:p>
        </w:tc>
        <w:tc>
          <w:tcPr>
            <w:tcW w:w="81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Человеческий фактор, высокая нагрузка</w:t>
            </w:r>
          </w:p>
        </w:tc>
        <w:tc>
          <w:tcPr>
            <w:tcW w:w="902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Незначительные травмы, случаи ухудшения здоровья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2</w:t>
            </w:r>
          </w:p>
        </w:tc>
        <w:tc>
          <w:tcPr>
            <w:tcW w:w="45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4</w:t>
            </w:r>
          </w:p>
        </w:tc>
        <w:tc>
          <w:tcPr>
            <w:tcW w:w="54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 xml:space="preserve"> Низкий</w:t>
            </w:r>
          </w:p>
        </w:tc>
        <w:tc>
          <w:tcPr>
            <w:tcW w:w="19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Соблюдение установленных регламентированных перерывов в течение рабочей смены</w:t>
            </w:r>
          </w:p>
        </w:tc>
        <w:tc>
          <w:tcPr>
            <w:tcW w:w="631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Допустимый риск</w:t>
            </w:r>
          </w:p>
        </w:tc>
        <w:tc>
          <w:tcPr>
            <w:tcW w:w="1083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Дополнительные меры управления не требуются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Карту идентификации опасностей и оценки профессиональных рисков составили:</w:t>
      </w:r>
    </w:p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инженер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Соколов Д.И.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Специалист по охране труда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Петров А.С.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tbl>
      <w:tblPr>
        <w:tblW w:w="5000" w:type="pct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Главный энергетик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/>
        </w:tc>
        <w:tc>
          <w:tcPr>
            <w:tcW w:w="0" w:type="auto"/>
            <w:tcBorders>
              <w:top w:val="none" w:color="000000" w:sz="0" w:space="0"/>
              <w:left w:val="none" w:color="000000" w:sz="0" w:space="0"/>
              <w:bottom w:val="single" w:color="000000" w:sz="6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В.И.</w:t>
            </w:r>
          </w:p>
        </w:tc>
      </w:tr>
      <w:tr>
        <w:trPr>
          <w:trHeight w:val="0"/>
        </w:trPr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(наименование должности)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(подпись)</w:t>
            </w:r>
          </w:p>
        </w:tc>
        <w:tc>
          <w:tcPr>
            <w:tcW w:w="0" w:type="auto"/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0" w:type="auto"/>
            <w:tcBorders>
              <w:top w:val="single" w:color="000000" w:sz="6" w:space="0"/>
              <w:left w:val="none" w:color="000000" w:sz="0" w:space="0"/>
              <w:bottom w:val="none" w:color="000000" w:sz="0" w:space="0"/>
              <w:right w:val="none" w:color="000000" w:sz="0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19"/>
                <w:szCs w:val="19"/>
                <w:vertAlign w:val="superscript"/>
              </w:rPr>
              <w:t>(Ф. И. О.)</w:t>
            </w:r>
          </w:p>
        </w:tc>
      </w:tr>
    </w:tbl>
    <w:p>
      <w:pPr>
        <w:spacing w:line="240" w:lineRule="auto"/>
        <w:rPr>
          <w:rFonts w:hAnsi="Times New Roman" w:cs="Times New Roman"/>
          <w:color w:val="000000"/>
          <w:sz w:val="24"/>
          <w:szCs w:val="24"/>
        </w:rPr>
      </w:pPr>
      <w:r>
        <w:rPr>
          <w:rFonts w:hAnsi="Times New Roman" w:cs="Times New Roman"/>
          <w:color w:val="000000"/>
          <w:sz w:val="24"/>
          <w:szCs w:val="24"/>
        </w:rPr>
        <w:t>С картой идентификации опасностей и оценки профессиональных рисков № </w:t>
      </w:r>
      <w:r>
        <w:rPr>
          <w:rFonts w:hAnsi="Times New Roman" w:cs="Times New Roman"/>
          <w:color w:val="000000"/>
          <w:sz w:val="24"/>
          <w:szCs w:val="24"/>
        </w:rPr>
        <w:t>1</w:t>
      </w:r>
      <w:r>
        <w:rPr>
          <w:rFonts w:hAnsi="Times New Roman" w:cs="Times New Roman"/>
          <w:color w:val="000000"/>
          <w:sz w:val="24"/>
          <w:szCs w:val="24"/>
        </w:rPr>
        <w:t> ознакомлен:</w:t>
      </w:r>
    </w:p>
    <w:tbl>
      <w:tblPr>
        <w:tblW w:w="6138" w:type="dxa"/>
        <w:tblCellMar>
          <w:top w:w="15" w:type="dxa"/>
          <w:left w:w="15" w:type="dxa"/>
          <w:bottom w:w="15" w:type="dxa"/>
          <w:right w:w="15" w:type="dxa"/>
        </w:tblCellMar>
        <w:tblLook w:val="0600"/>
      </w:tblPr>
      <w:tblGrid>
        <w:gridCol w:w="1440"/>
        <w:gridCol w:w="1440"/>
        <w:gridCol w:w="1440"/>
        <w:gridCol w:w="1440"/>
      </w:tblGrid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№ п/п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Ф.И.О. работника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Подпись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Дата ознакомления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 Михаил Игоревич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line="240" w:lineRule="auto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>Гриднев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17.02.2025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2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 Константин Сергеевич</w:t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Иванов</w:t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17.02.2025</w:t>
            </w:r>
          </w:p>
        </w:tc>
      </w:tr>
      <w:tr>
        <w:trPr>
          <w:trHeight w:val="0"/>
        </w:trPr>
        <w:tc>
          <w:tcPr>
            <w:tcW w:w="368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r>
              <w:rPr>
                <w:rFonts w:hAnsi="Times New Roman" w:cs="Times New Roman"/>
                <w:color w:val="000000"/>
                <w:sz w:val="24"/>
                <w:szCs w:val="24"/>
              </w:rPr>
              <w:t>3</w:t>
            </w:r>
          </w:p>
        </w:tc>
        <w:tc>
          <w:tcPr>
            <w:tcW w:w="2885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657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  <w:tc>
          <w:tcPr>
            <w:tcW w:w="1104" w:type="dxa"/>
            <w:tcBorders>
              <w:top w:val="single" w:color="000000" w:sz="6" w:space="0"/>
              <w:left w:val="single" w:color="000000" w:sz="6" w:space="0"/>
              <w:bottom w:val="single" w:color="000000" w:sz="6" w:space="0"/>
              <w:right w:val="single" w:color="000000" w:sz="6" w:space="0"/>
            </w:tcBorders>
            <w:tcMar>
              <w:top w:w="75" w:type="dxa"/>
              <w:left w:w="75" w:type="dxa"/>
              <w:bottom w:w="75" w:type="dxa"/>
              <w:right w:w="75" w:type="dxa"/>
            </w:tcMar>
            <w:vAlign w:val="top"/>
          </w:tcPr>
          <w:p>
            <w:pPr>
              <w:spacing w:before="100" w:beforeAutospacing="1" w:after="100" w:afterAutospacing="1" w:line="240" w:lineRule="auto"/>
              <w:ind w:left="75" w:right="75"/>
              <w:rPr>
                <w:rFonts w:hAnsi="Times New Roman" w:cs="Times New Roman"/>
                <w:color w:val="000000"/>
                <w:sz w:val="24"/>
                <w:szCs w:val="24"/>
              </w:rPr>
            </w:pPr>
            <w:r>
              <w:rPr>
                <w:rFonts w:hAnsi="Times New Roman" w:cs="Times New Roman"/>
                <w:color w:val="000000"/>
                <w:sz w:val="24"/>
                <w:szCs w:val="24"/>
              </w:rPr>
              <w:t/>
            </w:r>
          </w:p>
        </w:tc>
      </w:tr>
    </w:tbl>
    <w:sectPr>
      <w:pgSz w:w="16839" w:h="11907" w:orient="landscape"/>
      <w:pgMar w:top="1440" w:right="1440" w:bottom="1440" w:left="1440" w:header="720" w:footer="720" w:gutter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Verdana">
    <w:panose1 w:val="020B0604030504040204"/>
    <w:charset w:val="00"/>
    <w:family w:val="swiss"/>
    <w:pitch w:val="variable"/>
    <w:sig w:usb0="A10006FF" w:usb1="4000205B" w:usb2="00000010" w:usb3="00000000" w:csb0="0000019F" w:csb1="00000000"/>
  </w:font>
</w:fonts>
</file>

<file path=word/numbering.xml><?xml version="1.0" encoding="utf-8"?>
<w:numbering xmlns:w="http://schemas.openxmlformats.org/wordprocessingml/2006/main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5A05CE"/>
    <w:rsid w:val="002D33B1"/>
    <w:rsid w:val="002D3591"/>
    <w:rsid w:val="003514A0"/>
    <w:rsid w:val="004F7E17"/>
    <w:rsid w:val="005A05CE"/>
    <w:rsid w:val="00653AF6"/>
    <w:rsid w:val="00B73A5A"/>
    <w:rsid w:val="00E438A1"/>
    <w:rsid w:val="00F01E1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before="100" w:beforeAutospacing="1" w:after="100" w:afterAutospacing="1" w:line="240" w:lineRule="auto"/>
        <!--<w:spacing w:before="100" w:beforeAutospacing="1" w:after="100" w:afterAutospacing="1" w:line="240" w:lineRule="auto"/>-->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4F7E17"/>
    <w:pPr>
      <w:spacing w:before="100" w:beforeAutospacing="1" w:after="100" w:afterAutospacing="1" w:line="240" w:lineRule="auto"/>
    </w:pPr>
  </w:style>
  <w:style w:type="paragraph" w:styleId="Heading1">
    <w:name w:val="heading 1"/>
    <w:basedOn w:val="Normal"/>
    <w:next w:val="Normal"/>
    <w:link w:val="Heading1Char"/>
    <w:uiPriority w:val="9"/>
    <w:qFormat/>
    <w:rsid w:val="00B73A5A"/>
    <w:pPr>
      <w:keepNext/>
      <w:keepLines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73A5A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ettings" Target="settings.xml" Id="rId3" /><Relationship Type="http://schemas.microsoft.com/office/2007/relationships/stylesWithEffects" Target="stylesWithEffects.xml" Id="rId2" /><Relationship Type="http://schemas.openxmlformats.org/officeDocument/2006/relationships/styles" Target="styles.xml" Id="rId1" /><Relationship Type="http://schemas.openxmlformats.org/officeDocument/2006/relationships/theme" Target="theme/theme1.xml" Id="rId6" /><Relationship Type="http://schemas.openxmlformats.org/officeDocument/2006/relationships/fontTable" Target="fontTable.xml" Id="rId5" /><Relationship Type="http://schemas.openxmlformats.org/officeDocument/2006/relationships/webSettings" Target="webSettings.xml" Id="rId4" /><Relationship Type="http://schemas.openxmlformats.org/officeDocument/2006/relationships/numbering" Target="/word/numbering.xml" Id="R138572b7cf5148a0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Times New Roman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2011-11-02T04:15:00Z</dcterms:created>
  <dcterms:modified xsi:type="dcterms:W3CDTF">2012-05-05T09:54:00Z</dcterms:modified>
</cp:coreProperties>
</file>