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color w:val="000000"/>
          <w:sz w:val="24"/>
          <w:szCs w:val="24"/>
        </w:rPr>
        <w:t>Карта идентификации опасностей и оценки профессиональных рисков № </w:t>
      </w:r>
      <w:r>
        <w:rPr>
          <w:rFonts w:hAnsi="Times New Roman" w:cs="Times New Roman"/>
          <w:color w:val="000000"/>
          <w:sz w:val="24"/>
          <w:szCs w:val="24"/>
        </w:rPr>
        <w:t>1</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Наименование структурного подразделения</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Бригада неотложной скорой помощи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Наименование должности (профессии)</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Врач-акушер-гинеколог</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Дата оценки</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01.04.2024</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опасности,</w:t>
            </w:r>
            <w:r>
              <w:br/>
            </w:r>
            <w:r>
              <w:rPr>
                <w:rFonts w:hAnsi="Times New Roman" w:cs="Times New Roman"/>
                <w:color w:val="000000"/>
                <w:sz w:val="24"/>
                <w:szCs w:val="24"/>
              </w:rPr>
              <w:t>опасного события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оборудования — потенциального источника причинения травмы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Последствия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Тяжесть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Вероятность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Индекс риска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Уровень риска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Существующие меры управления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Заключение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Мероприятия по снижению риска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из-за контакта с патогенными микроорганизмами</w:t>
            </w:r>
          </w:p>
          <w:p>
            <w:pPr>
              <w:spacing w:line="240" w:lineRule="auto"/>
              <w:rPr>
                <w:rFonts w:hAnsi="Times New Roman" w:cs="Times New Roman"/>
                <w:color w:val="000000"/>
                <w:sz w:val="24"/>
                <w:szCs w:val="24"/>
              </w:rPr>
            </w:pPr>
            <w:r>
              <w:rPr>
                <w:rFonts w:hAnsi="Times New Roman" w:cs="Times New Roman"/>
                <w:color w:val="000000"/>
                <w:sz w:val="24"/>
                <w:szCs w:val="24"/>
              </w:rPr>
              <w:t>Заболевание работника, связанное с воздействием патогенных микроорганизмов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Патогенные микроорганизмы — возбудители инфекционных заболеваний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Высокий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заражения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Патогенные микроорганизмы — возбудители инфекционных заболеваний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Высокий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порезов, проколов острыми кромками инструментов, загрязненных биологическим материалом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Инструмент, оборудование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контакта с кровью и другими биологическими жидкостями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Кровь, биологические жидкости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физических перегрузок при чрезмерных физических усилиях при подъеме предметов и деталей, при перемещении предметов и деталей, при стереотипных рабочих движениях и при статических нагрузках, при неудобной рабочей позе, в том числе при наклонах корпуса тела работника более чем на 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Человеческий фактор, положение в пространстве при общей нагрузке (с участием мышц рук, корпуса, ног). Подъем и перемещение тяжестей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Травмы различной степени тяжести, случаи временной нетрудоспособности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костно-мышечного аппарата работника при физических перегрузках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режимов труда и отдыха. Не допускается поднимать и переносить груз весом, превышающим предельно допустимые нормы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Контроль за соблюдением режимов труда и отдыха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насилия от враждебно-настроенных работников/третьих лиц</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Противоправные действия со стороны пациентов, их родственников и третьих лиц</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Избегание конфликтов с пациентами, их родственниками и третьими лицами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Обучение сотрудников методам выхода из конфликтных ситуаций. Организация видеонаблюдения за рабочей зоной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вредных химических веществ в воздухе рабочей зоны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Отравление воздушными взвесями вредных химических веществ в воздухе рабочей зоны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Воздействие химических веществ на кожу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Заболевания кожи (дерматиты) при воздействии химических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Воздействие химических веществ на глаза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Травма оболочек и роговицы глаза при воздействии химических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перенапряжения зрительного анализатора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Проведение операций, оборудование, инструмент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установленных регламентированных перерывов в течение рабочей смены.Установка осветительных приборов общего и локального освещения, позволяющих поддерживать комфортное состояние зрительного аппарата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Обеспечение достаточной освещенности рабочей зоны. Организация своевременной замены перегоревших ламп в светильниках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психических нагрузок, стрессов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Человеческий фактор, высокая нагрузка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установленных регламентированных перерывов в течение рабочей смены. Участие работников в процессе принятия решений, проведение значимых и своевременных консультаций с работниками.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 психосоциальных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 (косвенный контакт)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Оборудование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Травмы различной степени тяжести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Наличие защитного заземления. Безопасное расположение токоведущих частей. Периодическое проведение испытаний и измерений сопротивления изоляции проводов, кабелей и заземляющих устройств.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Проверка работником исправности оборудования и правильность его подключения в электросеть перед началом работ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пониженной концентрации кислорода в воздухе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травмирования, в том числе снегом и (или) льдом, упавшими с крыш зданий и сооружений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Скопление снега и сосулек на кровле здания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Установка ограждений, сигнальных знаков, своевременная очистка крыш</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Контроль за состоянием крыш</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Территория организации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антигололедных средств для обработки уличных дорог и пешеходных зон. Применение в зоне входной группы противоскользящих покрытий пола. Организация мытья полов во время отсутствия работников на рабочих местах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с высоты при передвижении по лестничным пролетам (лестницам)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Лестничные пролеты, лестницы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требующие медицинского вмешательства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ограждений, сигнальных знаков. Использование антискользящих накладок на ступени со светоотражающими полосками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недостаточной освещенности в рабочей зоне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Система освещения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Установка осветительных приборов общего и локального освещения, позволяющих поддерживать комфортное состояние зрительного аппарата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Обеспечение достаточной освещенности рабочей зоны. Организация своевременной замены перегоревших ламп в светильниках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пореза частей тела, в том числе кромкой листа бумаги, канцелярским ножом, ножницами, острыми кромками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Бумага, канцелярские принадлежности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Мер по снижению риска не предусмотрено, риск управлению не подлежит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воздействия на кожные покровы чистящих и обезжиривающих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Беспрепятственный доступ к аптечке, повышенное внимание. Соблюдение установленных регламентированных перерывов в течение рабочей смены. Обеспечение работника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Раздача памяток работникам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воздействия на органы дыхания воздушных смесей, содержащих 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Беспрепятственный доступ к аптечке, повышенное внимание. Соблюдение установленных регламентированных перерывов в течение рабочей смены. Обеспечение работника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Раздача памяток работникам</w:t>
            </w:r>
          </w:p>
        </w:tc>
      </w:tr>
    </w:tbl>
    <w:p>
      <w:pPr>
        <w:spacing w:line="240" w:lineRule="auto"/>
        <w:rPr>
          <w:rFonts w:hAnsi="Times New Roman" w:cs="Times New Roman"/>
          <w:color w:val="000000"/>
          <w:sz w:val="24"/>
          <w:szCs w:val="24"/>
        </w:rPr>
      </w:pPr>
      <w:r>
        <w:rPr>
          <w:rFonts w:hAnsi="Times New Roman" w:cs="Times New Roman"/>
          <w:color w:val="000000"/>
          <w:sz w:val="24"/>
          <w:szCs w:val="24"/>
        </w:rPr>
        <w:t>Карту идентификации опасностей и оценки профессиональных рисков составили:</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Главный инженер</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Соколов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Соколов Д.И.</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охране труда</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Петров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Петров А.С.</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Главный врач</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Иванов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Иванов В.И.</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p>
      <w:pPr>
        <w:spacing w:line="240" w:lineRule="auto"/>
        <w:rPr>
          <w:rFonts w:hAnsi="Times New Roman" w:cs="Times New Roman"/>
          <w:color w:val="000000"/>
          <w:sz w:val="24"/>
          <w:szCs w:val="24"/>
        </w:rPr>
      </w:pPr>
      <w:r>
        <w:rPr>
          <w:rFonts w:hAnsi="Times New Roman" w:cs="Times New Roman"/>
          <w:color w:val="000000"/>
          <w:sz w:val="24"/>
          <w:szCs w:val="24"/>
        </w:rPr>
        <w:t xml:space="preserve">С картой идентификации опасностей и оценки профессиональных рисков № </w:t>
      </w:r>
      <w:r>
        <w:rPr>
          <w:rFonts w:hAnsi="Times New Roman" w:cs="Times New Roman"/>
          <w:color w:val="000000"/>
          <w:sz w:val="24"/>
          <w:szCs w:val="24"/>
        </w:rPr>
        <w:t>1</w:t>
      </w:r>
      <w:r>
        <w:rPr>
          <w:rFonts w:hAnsi="Times New Roman" w:cs="Times New Roman"/>
          <w:color w:val="000000"/>
          <w:sz w:val="24"/>
          <w:szCs w:val="24"/>
        </w:rPr>
        <w:t> ознакомлен:</w:t>
      </w:r>
    </w:p>
    <w:tbl>
      <w:tblPr>
        <w:tblW w:w="6138" w:type="dxa"/>
        <w:tblCellMar>
          <w:top w:w="15" w:type="dxa"/>
          <w:left w:w="15" w:type="dxa"/>
          <w:bottom w:w="15" w:type="dxa"/>
          <w:right w:w="15" w:type="dxa"/>
        </w:tblCellMar>
        <w:tblLook w:val="0600"/>
      </w:tblPr>
      <w:tblGrid>
        <w:gridCol w:w="1440"/>
        <w:gridCol w:w="1440"/>
        <w:gridCol w:w="1440"/>
        <w:gridCol w:w="1440"/>
      </w:tblGrid>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п/п</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Ф.И.О. работника</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Дата ознакомления</w:t>
            </w:r>
          </w:p>
        </w:tc>
      </w:tr>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Гриднева Екатерина Игоревна</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Гриднева</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02.04.2024</w:t>
            </w:r>
          </w:p>
        </w:tc>
      </w:tr>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sectPr>
      <w:pgSz w:w="16839" w:h="11907" w:orient="landscape"/>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030cb4b021f42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