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УТВЕРЖДАЮ: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Директор ООО «Гамма"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__________________/Тагилов В.В.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План мероприятий по корректировке рисков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е объекта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оценки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рисков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опасности,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факторы риска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Срочность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мероприятий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профилактике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профриска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Корректирующие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мероприятия</w:t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Индекс профессионального риска (ИПР) до /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после корректирующих мероприятий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Подтвержденность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посл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посл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сл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посл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ind w:left="960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 мероприятий составил: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</w:t>
      </w:r>
      <w:r>
        <w:rPr>
          <w:rFonts w:hAnsi="Times New Roman" w:cs="Times New Roman"/>
          <w:color w:val="000000"/>
          <w:sz w:val="24"/>
          <w:szCs w:val="24"/>
        </w:rPr>
        <w:t>                                  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>                                     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a6d864b53ef49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