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color w:val="000000"/>
          <w:sz w:val="24"/>
          <w:szCs w:val="24"/>
        </w:rPr>
        <w:t>Титульный лист</w:t>
      </w:r>
    </w:p>
    <w:tbl>
      <w:tblPr>
        <w:tblW w:w="0" w:type="auto"/>
        <w:tblCellMar>
          <w:top w:w="15" w:type="dxa"/>
          <w:left w:w="15" w:type="dxa"/>
          <w:bottom w:w="15" w:type="dxa"/>
          <w:right w:w="15" w:type="dxa"/>
        </w:tblCellMar>
        <w:tblLook w:val="0600"/>
      </w:tblPr>
      <w:tblGrid>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(наименование организации)</w:t>
            </w: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01.03.2022</w:t>
      </w:r>
      <w:r>
        <w:rPr>
          <w:rFonts w:hAnsi="Times New Roman" w:cs="Times New Roman"/>
          <w:color w:val="000000"/>
          <w:sz w:val="24"/>
          <w:szCs w:val="24"/>
        </w:rPr>
        <w:t xml:space="preserve"> г.</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ПЛАН ПРОИЗВОДСТВА РАБОТ № </w:t>
      </w:r>
      <w:r>
        <w:rPr>
          <w:rFonts w:hAnsi="Times New Roman" w:cs="Times New Roman"/>
          <w:b/>
          <w:bCs/>
          <w:color w:val="000000"/>
          <w:sz w:val="24"/>
          <w:szCs w:val="24"/>
        </w:rPr>
        <w:t>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на </w:t>
      </w:r>
      <w:r>
        <w:rPr>
          <w:rFonts w:hAnsi="Times New Roman" w:cs="Times New Roman"/>
          <w:b/>
          <w:bCs/>
          <w:color w:val="000000"/>
          <w:sz w:val="24"/>
          <w:szCs w:val="24"/>
        </w:rPr>
        <w:t>___________________________________________________________________________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Разработал:</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01.03.2022</w:t>
      </w:r>
      <w:r>
        <w:rPr>
          <w:rFonts w:hAnsi="Times New Roman" w:cs="Times New Roman"/>
          <w:color w:val="000000"/>
          <w:sz w:val="24"/>
          <w:szCs w:val="24"/>
        </w:rPr>
        <w:t> г.</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Согласовал:</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01.03.2022</w:t>
      </w:r>
      <w:r>
        <w:rPr>
          <w:rFonts w:hAnsi="Times New Roman" w:cs="Times New Roman"/>
          <w:color w:val="000000"/>
          <w:sz w:val="24"/>
          <w:szCs w:val="24"/>
        </w:rPr>
        <w:t> г.</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Следующая страница</w:t>
      </w:r>
    </w:p>
    <w:p>
      <w:pPr>
        <w:spacing w:line="240" w:lineRule="auto"/>
        <w:rPr>
          <w:rFonts w:hAnsi="Times New Roman" w:cs="Times New Roman"/>
          <w:color w:val="000000"/>
          <w:sz w:val="24"/>
          <w:szCs w:val="24"/>
        </w:rPr>
      </w:pPr>
      <w:r>
        <w:rPr>
          <w:rFonts w:hAnsi="Times New Roman" w:cs="Times New Roman"/>
          <w:b/>
          <w:bCs/>
          <w:color w:val="000000"/>
          <w:sz w:val="24"/>
          <w:szCs w:val="24"/>
        </w:rPr>
        <w:t>Оглавление</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1.</w:t>
            </w:r>
          </w:p>
        </w:tc>
        <w:tc>
          <w:tcPr>
            <w:tcW w:w="0" w:type="auto"/>
            <w:tcMar>
              <w:top w:w="75" w:type="dxa"/>
              <w:left w:w="75" w:type="dxa"/>
              <w:bottom w:w="75" w:type="dxa"/>
              <w:right w:w="75" w:type="dxa"/>
            </w:tcMar>
            <w:vAlign w:val="top"/>
          </w:tcPr>
          <w:p>
            <w:r>
              <w:rPr>
                <w:rFonts w:hAnsi="Times New Roman" w:cs="Times New Roman"/>
                <w:color w:val="000000"/>
                <w:sz w:val="24"/>
                <w:szCs w:val="24"/>
              </w:rPr>
              <w:t>ОБЩИЕ ПОЛОЖЕНИЯ</w:t>
            </w:r>
          </w:p>
        </w:tc>
        <w:tc>
          <w:tcPr>
            <w:tcW w:w="0" w:type="auto"/>
            <w:tcMar>
              <w:top w:w="75" w:type="dxa"/>
              <w:left w:w="75" w:type="dxa"/>
              <w:bottom w:w="75" w:type="dxa"/>
              <w:right w:w="75" w:type="dxa"/>
            </w:tcMar>
            <w:vAlign w:val="top"/>
          </w:tcPr>
          <w:p>
            <w:r>
              <w:rPr>
                <w:rFonts w:hAnsi="Times New Roman" w:cs="Times New Roman"/>
                <w:color w:val="000000"/>
                <w:sz w:val="24"/>
                <w:szCs w:val="24"/>
              </w:rPr>
              <w:t>3</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2.</w:t>
            </w:r>
          </w:p>
        </w:tc>
        <w:tc>
          <w:tcPr>
            <w:tcW w:w="0" w:type="auto"/>
            <w:tcMar>
              <w:top w:w="75" w:type="dxa"/>
              <w:left w:w="75" w:type="dxa"/>
              <w:bottom w:w="75" w:type="dxa"/>
              <w:right w:w="75" w:type="dxa"/>
            </w:tcMar>
            <w:vAlign w:val="top"/>
          </w:tcPr>
          <w:p>
            <w:r>
              <w:rPr>
                <w:rFonts w:hAnsi="Times New Roman" w:cs="Times New Roman"/>
                <w:color w:val="000000"/>
                <w:sz w:val="24"/>
                <w:szCs w:val="24"/>
              </w:rPr>
              <w:t>МЕРОПРИЯТИЯ, ПРЕДУПРЕЖДАЮЩИЕ ПАДЕНИЕ ЛЮДЕЙ С ВЫСОТЫ</w:t>
            </w:r>
          </w:p>
        </w:tc>
        <w:tc>
          <w:tcPr>
            <w:tcW w:w="0" w:type="auto"/>
            <w:tcMar>
              <w:top w:w="75" w:type="dxa"/>
              <w:left w:w="75" w:type="dxa"/>
              <w:bottom w:w="75" w:type="dxa"/>
              <w:right w:w="75" w:type="dxa"/>
            </w:tcMar>
            <w:vAlign w:val="top"/>
          </w:tcPr>
          <w:p>
            <w:r>
              <w:rPr>
                <w:rFonts w:hAnsi="Times New Roman" w:cs="Times New Roman"/>
                <w:color w:val="000000"/>
                <w:sz w:val="24"/>
                <w:szCs w:val="24"/>
              </w:rPr>
              <w:t>4</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3.</w:t>
            </w:r>
          </w:p>
        </w:tc>
        <w:tc>
          <w:tcPr>
            <w:tcW w:w="0" w:type="auto"/>
            <w:tcMar>
              <w:top w:w="75" w:type="dxa"/>
              <w:left w:w="75" w:type="dxa"/>
              <w:bottom w:w="75" w:type="dxa"/>
              <w:right w:w="75" w:type="dxa"/>
            </w:tcMar>
            <w:vAlign w:val="top"/>
          </w:tcPr>
          <w:p>
            <w:r>
              <w:rPr>
                <w:rFonts w:hAnsi="Times New Roman" w:cs="Times New Roman"/>
                <w:color w:val="000000"/>
                <w:sz w:val="24"/>
                <w:szCs w:val="24"/>
              </w:rPr>
              <w:t>ПЛАН ЭВАКУАЦИИ И СПАСЕНИЯ</w:t>
            </w:r>
          </w:p>
        </w:tc>
        <w:tc>
          <w:tcPr>
            <w:tcW w:w="0" w:type="auto"/>
            <w:tcMar>
              <w:top w:w="75" w:type="dxa"/>
              <w:left w:w="75" w:type="dxa"/>
              <w:bottom w:w="75" w:type="dxa"/>
              <w:right w:w="75" w:type="dxa"/>
            </w:tcMar>
            <w:vAlign w:val="top"/>
          </w:tcPr>
          <w:p>
            <w:r>
              <w:rPr>
                <w:rFonts w:hAnsi="Times New Roman" w:cs="Times New Roman"/>
                <w:color w:val="000000"/>
                <w:sz w:val="24"/>
                <w:szCs w:val="24"/>
              </w:rPr>
              <w:t>7</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4.</w:t>
            </w:r>
          </w:p>
        </w:tc>
        <w:tc>
          <w:tcPr>
            <w:tcW w:w="0" w:type="auto"/>
            <w:tcMar>
              <w:top w:w="75" w:type="dxa"/>
              <w:left w:w="75" w:type="dxa"/>
              <w:bottom w:w="75" w:type="dxa"/>
              <w:right w:w="75" w:type="dxa"/>
            </w:tcMar>
            <w:vAlign w:val="top"/>
          </w:tcPr>
          <w:p>
            <w:r>
              <w:rPr>
                <w:rFonts w:hAnsi="Times New Roman" w:cs="Times New Roman"/>
                <w:color w:val="000000"/>
                <w:sz w:val="24"/>
                <w:szCs w:val="24"/>
              </w:rPr>
              <w:t>ПОРЯДОК ПРОИЗВОДСТВА РАБОТ</w:t>
            </w:r>
          </w:p>
        </w:tc>
        <w:tc>
          <w:tcPr>
            <w:tcW w:w="0" w:type="auto"/>
            <w:tcMar>
              <w:top w:w="75" w:type="dxa"/>
              <w:left w:w="75" w:type="dxa"/>
              <w:bottom w:w="75" w:type="dxa"/>
              <w:right w:w="75" w:type="dxa"/>
            </w:tcMar>
            <w:vAlign w:val="top"/>
          </w:tcPr>
          <w:p>
            <w:r>
              <w:rPr>
                <w:rFonts w:hAnsi="Times New Roman" w:cs="Times New Roman"/>
                <w:color w:val="000000"/>
                <w:sz w:val="24"/>
                <w:szCs w:val="24"/>
              </w:rPr>
              <w:t>15</w:t>
            </w:r>
          </w:p>
        </w:tc>
      </w:tr>
      <w:tr>
        <w:trPr>
          <w:trHeight w:val="0"/>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ЛИСТ ОЗНАКОМЛЕНИЯ С ППР № 1</w:t>
            </w:r>
          </w:p>
        </w:tc>
        <w:tc>
          <w:tcPr>
            <w:tcW w:w="0" w:type="auto"/>
            <w:tcMar>
              <w:top w:w="75" w:type="dxa"/>
              <w:left w:w="75" w:type="dxa"/>
              <w:bottom w:w="75" w:type="dxa"/>
              <w:right w:w="75" w:type="dxa"/>
            </w:tcMar>
            <w:vAlign w:val="top"/>
          </w:tcPr>
          <w:p>
            <w:r>
              <w:rPr>
                <w:rFonts w:hAnsi="Times New Roman" w:cs="Times New Roman"/>
                <w:color w:val="000000"/>
                <w:sz w:val="24"/>
                <w:szCs w:val="24"/>
              </w:rPr>
              <w:t>18</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Следующая страница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1.1.Настоящие положения обязательны для выполнения должностными лицами и исполнителями любых работ на высоте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Под работами на высоте подразумеваются работы, представляющие угрозу падения с высоты (или на глубину) при которых:</w:t>
      </w:r>
    </w:p>
    <w:p>
      <w:pPr>
        <w:spacing w:line="240" w:lineRule="auto"/>
        <w:rPr>
          <w:rFonts w:hAnsi="Times New Roman" w:cs="Times New Roman"/>
          <w:color w:val="000000"/>
          <w:sz w:val="24"/>
          <w:szCs w:val="24"/>
        </w:rPr>
      </w:pPr>
      <w:r>
        <w:rPr>
          <w:rFonts w:hAnsi="Times New Roman" w:cs="Times New Roman"/>
          <w:color w:val="000000"/>
          <w:sz w:val="24"/>
          <w:szCs w:val="24"/>
        </w:rPr>
        <w:t>а) существуют риски, связанные с возможным падением работника с высоты 1,8 м и более, в том числе: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осуществлении работником подъема на высоту более 5 м, или спуска с высоты более 5 м по лестнице, угол наклона которой к горизонтальной поверхности составляет более 75°;</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проведении работ на площадках на расстоянии ближе 2 м от неогражденных перепадов по высоте более 1,8 м, а также, если высота защитного ограждения этих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б) существуют риски, связанные с возможным падением работника с высоты менее 1,8 м, если работа проводится над машинами или механизмами, поверхностью жидкости или сыпучих мелкодисперсных материалов, выступающими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1.2. Устанавливаемые требования дополняют требования действующих нормативно-технических документов по охране труда, учитывая при этом мероприятия по обеспечению безопасности в альпинизме, а также специфику и особенности самого способа ведения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1.3. При ведении работ на высоте следует соблюдать требования охраны и безопасности труда, предусмотренные для конкретного вида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В исключительных случаях при угрозе жизни персонала или при спасении людей допускается вынужденное отступление от ППР. При этом должны быть приняты все меры по обеспечению безопасности исполнителя (персонала). Решение об отступлении от ППР принимают руководитель работ или непосредственно на месте производства работ ответственный исполнитель в письменном виде. Это решение предварительно должно пройти согласование в отделе охраны труда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1.5. Привлечение для выполнения работ методом канатного доступа лиц на высоте, не имеющих удостоверения государственного образца, подтверждающего квалификацию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1.6. Предприятия, организации, а также физические лица, ведущие или принятые по найму (договору) для ведения любых видов работ на высоте, обязаны иметь соответствующую проектную документацию на объект работ, а также сертификаты на применяемое снаряжение.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1.7. При выполнении работ на высоте </w:t>
      </w:r>
      <w:r>
        <w:rPr>
          <w:rFonts w:hAnsi="Times New Roman" w:cs="Times New Roman"/>
          <w:color w:val="000000"/>
          <w:sz w:val="24"/>
          <w:szCs w:val="24"/>
        </w:rPr>
        <w:t>___________</w:t>
      </w:r>
      <w:r>
        <w:rPr>
          <w:rFonts w:hAnsi="Times New Roman" w:cs="Times New Roman"/>
          <w:color w:val="000000"/>
          <w:sz w:val="24"/>
          <w:szCs w:val="24"/>
        </w:rPr>
        <w:t xml:space="preserve"> должны быть обеспечены: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безопасное использование методов и технологий исполнения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альпинистского и другого снаряжения, оборудования, инструментов и приспособлений, отвечающих требованиям безопасности и соответствующих характеру выполняемых работ и высотам;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соблюдение настоящих положений и других нормативных документов, регламентирующих требования безопасности применяемых технологий исполнения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1.8. На основании требований нормативных правовых актов должны быть разработаны инструкции по охране труда, учитывающие специфику, конкретные условия и методы, применяемых технологий исполнения работ, характерных для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1.9. Ответственность за общую организацию и обеспечение безопасности в рабочей зоне (месте) возлагается на ответственного руководителя работ из числа руководителей и специалистов, назначенного приказом руководителя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1.10. Ответственность за соблюдение настоящих положений и других руководящих документов по безопасности технологий и методов исполнения работ непосредственно на рабочем месте несут ответственные исполнители (бригадир, звеньевой и высококвалифицированный рабочий и т.п., назначенные приказом руководителя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МЕРОПРИЯТИЯ, ПРЕДУПРЕЖДАЮЩИЕ ПАДЕНИЕ ЛЮДЕЙ С ВЫСОТЫ</w:t>
      </w:r>
    </w:p>
    <w:p>
      <w:pPr>
        <w:spacing w:line="240" w:lineRule="auto"/>
        <w:rPr>
          <w:rFonts w:hAnsi="Times New Roman" w:cs="Times New Roman"/>
          <w:color w:val="000000"/>
          <w:sz w:val="24"/>
          <w:szCs w:val="24"/>
        </w:rPr>
      </w:pPr>
      <w:r>
        <w:rPr>
          <w:rFonts w:hAnsi="Times New Roman" w:cs="Times New Roman"/>
          <w:color w:val="000000"/>
          <w:sz w:val="24"/>
          <w:szCs w:val="24"/>
        </w:rPr>
        <w:t>2.1. Рабочие, допущенные к выполнению работ на высоте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инструктаж;</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ознакомлены и выполнять требования наряд-допуска на производство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обеспечены спецодеждой, защитными касками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укомплектованы системами позиционирования, включающей страховочную привязь;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группу по электробезопасности не ниже III;</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группу по безопасности работ на высоте не ниже I, при этом обязательно наличие в бригаде минимум одного рабочего со II группой по безопасности работ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укомплектованным защитными перчатками или рукавицами, защитными кремами и другими средствами - для защиты рук;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знать, какие средства спасения применяются и где хранятся.</w:t>
      </w:r>
    </w:p>
    <w:p>
      <w:pPr>
        <w:spacing w:line="240" w:lineRule="auto"/>
        <w:rPr>
          <w:rFonts w:hAnsi="Times New Roman" w:cs="Times New Roman"/>
          <w:color w:val="000000"/>
          <w:sz w:val="24"/>
          <w:szCs w:val="24"/>
        </w:rPr>
      </w:pPr>
      <w:r>
        <w:rPr>
          <w:rFonts w:hAnsi="Times New Roman" w:cs="Times New Roman"/>
          <w:color w:val="000000"/>
          <w:sz w:val="24"/>
          <w:szCs w:val="24"/>
        </w:rPr>
        <w:t>2.2. Все выдаваемые СИЗ должны подлежать обязательной сертификации.</w:t>
      </w:r>
    </w:p>
    <w:p>
      <w:pPr>
        <w:spacing w:line="240" w:lineRule="auto"/>
        <w:rPr>
          <w:rFonts w:hAnsi="Times New Roman" w:cs="Times New Roman"/>
          <w:color w:val="000000"/>
          <w:sz w:val="24"/>
          <w:szCs w:val="24"/>
        </w:rPr>
      </w:pPr>
      <w:r>
        <w:rPr>
          <w:rFonts w:hAnsi="Times New Roman" w:cs="Times New Roman"/>
          <w:color w:val="000000"/>
          <w:sz w:val="24"/>
          <w:szCs w:val="24"/>
        </w:rPr>
        <w:t>2.3. Перед подъемом на антенно-мачтовые сооружения должны быть отключены сигнальное освещение мачты, прогрев антенн и обеспечено несанкционированное включение электропитания, вывешены плакаты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2.4. Перед началом работ, а также после проведения работ должен быть произведён осмотр СИЗ на момент отсутствия повреждений, а также проверено не превышение срока годности. Срок годности средств защиты из синтетических материалов при соблюдении правил эксплуатации и хранения определяется в документации изготовителя, но не должен превышать:</w:t>
      </w:r>
    </w:p>
    <w:p>
      <w:pPr>
        <w:spacing w:line="240" w:lineRule="auto"/>
        <w:rPr>
          <w:rFonts w:hAnsi="Times New Roman" w:cs="Times New Roman"/>
          <w:color w:val="000000"/>
          <w:sz w:val="24"/>
          <w:szCs w:val="24"/>
        </w:rPr>
      </w:pPr>
      <w:r>
        <w:rPr>
          <w:rFonts w:hAnsi="Times New Roman" w:cs="Times New Roman"/>
          <w:color w:val="000000"/>
          <w:sz w:val="24"/>
          <w:szCs w:val="24"/>
        </w:rPr>
        <w:t>а) для синтетических канатов – 2 года или 400 часов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б) для СИЗ от падения с высоты, имеющих не металлические элементы – 5 лет;</w:t>
      </w:r>
    </w:p>
    <w:p>
      <w:pPr>
        <w:spacing w:line="240" w:lineRule="auto"/>
        <w:rPr>
          <w:rFonts w:hAnsi="Times New Roman" w:cs="Times New Roman"/>
          <w:color w:val="000000"/>
          <w:sz w:val="24"/>
          <w:szCs w:val="24"/>
        </w:rPr>
      </w:pPr>
      <w:r>
        <w:rPr>
          <w:rFonts w:hAnsi="Times New Roman" w:cs="Times New Roman"/>
          <w:color w:val="000000"/>
          <w:sz w:val="24"/>
          <w:szCs w:val="24"/>
        </w:rPr>
        <w:t>в) для касок – 5 лет.</w:t>
      </w:r>
    </w:p>
    <w:p>
      <w:pPr>
        <w:spacing w:line="240" w:lineRule="auto"/>
        <w:rPr>
          <w:rFonts w:hAnsi="Times New Roman" w:cs="Times New Roman"/>
          <w:color w:val="000000"/>
          <w:sz w:val="24"/>
          <w:szCs w:val="24"/>
        </w:rPr>
      </w:pPr>
      <w:r>
        <w:rPr>
          <w:rFonts w:hAnsi="Times New Roman" w:cs="Times New Roman"/>
          <w:color w:val="000000"/>
          <w:sz w:val="24"/>
          <w:szCs w:val="24"/>
        </w:rPr>
        <w:t>2.5. В местах, где канат может быть поврежден или защемлен, нужно использовать защиту каната.</w:t>
      </w:r>
    </w:p>
    <w:p>
      <w:pPr>
        <w:spacing w:line="240" w:lineRule="auto"/>
        <w:rPr>
          <w:rFonts w:hAnsi="Times New Roman" w:cs="Times New Roman"/>
          <w:color w:val="000000"/>
          <w:sz w:val="24"/>
          <w:szCs w:val="24"/>
        </w:rPr>
      </w:pPr>
      <w:r>
        <w:rPr>
          <w:rFonts w:hAnsi="Times New Roman" w:cs="Times New Roman"/>
          <w:color w:val="000000"/>
          <w:sz w:val="24"/>
          <w:szCs w:val="24"/>
        </w:rPr>
        <w:t>2.6. При одновременном выполнении работ несколькими работниками, работа одного работника над другим по вертикали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2.7. Соблюдать обеспечение безопасности работы при перемещении работника по металлоконструкциям:</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Графическая схема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Описание графической схемы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7280641"/>
                  <wp:effectExtent l="0" t="0" r="0" b="0"/>
                  <wp:docPr id="1" name="Picture 1" descr="/api/doc/v1/image/-25152142?moduleId=118&amp;id=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25152142?moduleId=118&amp;id=81824"/>
                          <pic:cNvPicPr>
                            <a:picLocks noChangeAspect="1" noChangeArrowheads="1"/>
                          </pic:cNvPicPr>
                        </pic:nvPicPr>
                        <pic:blipFill>
                          <a:blip r:embed="R7e56022fc2b74394a2b98e90ae4f0479">
                            <a:extLst>
                              <a:ext uri="{28A0092B-C50C-407E-A947-70E740481C1C}">
                                <a14:useLocalDpi xmlns:a14="http://schemas.microsoft.com/office/drawing/2010/main" val="0"/>
                              </a:ext>
                            </a:extLst>
                          </a:blip>
                          <a:stretch>
                            <a:fillRect/>
                          </a:stretch>
                        </pic:blipFill>
                        <pic:spPr bwMode="auto">
                          <a:xfrm>
                            <a:off x="0" y="0"/>
                            <a:ext cx="5732144" cy="7280641"/>
                          </a:xfrm>
                          <a:prstGeom prst="rect">
                            <a:avLst/>
                          </a:prstGeom>
                          <a:noFill/>
                          <a:ln>
                            <a:noFill/>
                          </a:ln>
                        </pic:spPr>
                      </pic:pic>
                    </a:graphicData>
                  </a:graphic>
                </wp:inline>
              </w:drawing>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 осуществлять присоединение карабина за несущие конструкции, обеспечивая свою безопасность за счет непрерывности самостраховки при перемещении (подъеме или спуске) по конструкциям на высоте в случаях, когда невозможно организовать страховочную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2 – стропы самостраховки;</w:t>
            </w:r>
          </w:p>
          <w:p>
            <w:pPr>
              <w:spacing w:line="240" w:lineRule="auto"/>
              <w:rPr>
                <w:rFonts w:hAnsi="Times New Roman" w:cs="Times New Roman"/>
                <w:color w:val="000000"/>
                <w:sz w:val="24"/>
                <w:szCs w:val="24"/>
              </w:rPr>
            </w:pPr>
            <w:r>
              <w:rPr>
                <w:rFonts w:hAnsi="Times New Roman" w:cs="Times New Roman"/>
                <w:color w:val="000000"/>
                <w:sz w:val="24"/>
                <w:szCs w:val="24"/>
              </w:rPr>
              <w:t>3 – амортизатор;</w:t>
            </w:r>
          </w:p>
          <w:p>
            <w:pPr>
              <w:spacing w:line="240" w:lineRule="auto"/>
              <w:rPr>
                <w:rFonts w:hAnsi="Times New Roman" w:cs="Times New Roman"/>
                <w:color w:val="000000"/>
                <w:sz w:val="24"/>
                <w:szCs w:val="24"/>
              </w:rPr>
            </w:pPr>
            <w:r>
              <w:rPr>
                <w:rFonts w:hAnsi="Times New Roman" w:cs="Times New Roman"/>
                <w:color w:val="000000"/>
                <w:sz w:val="24"/>
                <w:szCs w:val="24"/>
              </w:rPr>
              <w:t>4 – соединитель (карабин), который позволяет работнику присоединять страховочную систему для того, чтобы соединить себя прямо или косвенно с опорой. Конструкция карабина должна исключать случайное открытие, а также исключать защемление и травмирование рук при работе с ним.</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3072717"/>
                  <wp:effectExtent l="0" t="0" r="0" b="0"/>
                  <wp:docPr id="2" name="Picture 2" descr="/api/doc/v1/image/-25152147?moduleId=118&amp;id=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25152147?moduleId=118&amp;id=81824"/>
                          <pic:cNvPicPr>
                            <a:picLocks noChangeAspect="1" noChangeArrowheads="1"/>
                          </pic:cNvPicPr>
                        </pic:nvPicPr>
                        <pic:blipFill>
                          <a:blip r:embed="Rc202b80d46ab45958f6826e4c39da9d8">
                            <a:extLst>
                              <a:ext uri="{28A0092B-C50C-407E-A947-70E740481C1C}">
                                <a14:useLocalDpi xmlns:a14="http://schemas.microsoft.com/office/drawing/2010/main" val="0"/>
                              </a:ext>
                            </a:extLst>
                          </a:blip>
                          <a:stretch>
                            <a:fillRect/>
                          </a:stretch>
                        </pic:blipFill>
                        <pic:spPr bwMode="auto">
                          <a:xfrm>
                            <a:off x="0" y="0"/>
                            <a:ext cx="5732144" cy="3072717"/>
                          </a:xfrm>
                          <a:prstGeom prst="rect">
                            <a:avLst/>
                          </a:prstGeom>
                          <a:noFill/>
                          <a:ln>
                            <a:noFill/>
                          </a:ln>
                        </pic:spPr>
                      </pic:pic>
                    </a:graphicData>
                  </a:graphic>
                </wp:inline>
              </w:drawing>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 осуществлять присоединение карабина за несущие конструкции, обеспечивая свою безопасность за счет непрерывности самостраховки при горизонтальном перемещении по конструкциям на высоте в случаях, когда невозможно организовать страховочную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2 – стропы самостраховки;</w:t>
            </w:r>
          </w:p>
          <w:p>
            <w:pPr>
              <w:spacing w:line="240" w:lineRule="auto"/>
              <w:rPr>
                <w:rFonts w:hAnsi="Times New Roman" w:cs="Times New Roman"/>
                <w:color w:val="000000"/>
                <w:sz w:val="24"/>
                <w:szCs w:val="24"/>
              </w:rPr>
            </w:pPr>
            <w:r>
              <w:rPr>
                <w:rFonts w:hAnsi="Times New Roman" w:cs="Times New Roman"/>
                <w:color w:val="000000"/>
                <w:sz w:val="24"/>
                <w:szCs w:val="24"/>
              </w:rPr>
              <w:t>3 – амортизатор;</w:t>
            </w:r>
          </w:p>
          <w:p>
            <w:pPr>
              <w:spacing w:line="240" w:lineRule="auto"/>
              <w:rPr>
                <w:rFonts w:hAnsi="Times New Roman" w:cs="Times New Roman"/>
                <w:color w:val="000000"/>
                <w:sz w:val="24"/>
                <w:szCs w:val="24"/>
              </w:rPr>
            </w:pPr>
            <w:r>
              <w:rPr>
                <w:rFonts w:hAnsi="Times New Roman" w:cs="Times New Roman"/>
                <w:color w:val="000000"/>
                <w:sz w:val="24"/>
                <w:szCs w:val="24"/>
              </w:rPr>
              <w:t>4 – соединитель (карабин).</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2989915"/>
                  <wp:effectExtent l="0" t="0" r="0" b="0"/>
                  <wp:docPr id="3" name="Picture 3" descr="/api/doc/v1/image/-25152148?moduleId=118&amp;id=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25152148?moduleId=118&amp;id=81824"/>
                          <pic:cNvPicPr>
                            <a:picLocks noChangeAspect="1" noChangeArrowheads="1"/>
                          </pic:cNvPicPr>
                        </pic:nvPicPr>
                        <pic:blipFill>
                          <a:blip r:embed="Rc2d07e17b00a442db3afdedc406f63be">
                            <a:extLst>
                              <a:ext uri="{28A0092B-C50C-407E-A947-70E740481C1C}">
                                <a14:useLocalDpi xmlns:a14="http://schemas.microsoft.com/office/drawing/2010/main" val="0"/>
                              </a:ext>
                            </a:extLst>
                          </a:blip>
                          <a:stretch>
                            <a:fillRect/>
                          </a:stretch>
                        </pic:blipFill>
                        <pic:spPr bwMode="auto">
                          <a:xfrm>
                            <a:off x="0" y="0"/>
                            <a:ext cx="5732144" cy="2989915"/>
                          </a:xfrm>
                          <a:prstGeom prst="rect">
                            <a:avLst/>
                          </a:prstGeom>
                          <a:noFill/>
                          <a:ln>
                            <a:noFill/>
                          </a:ln>
                        </pic:spPr>
                      </pic:pic>
                    </a:graphicData>
                  </a:graphic>
                </wp:inline>
              </w:drawing>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3036778"/>
                  <wp:effectExtent l="0" t="0" r="0" b="0"/>
                  <wp:docPr id="4" name="Picture 4" descr="/api/doc/v1/image/-25152150?moduleId=118&amp;id=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25152150?moduleId=118&amp;id=81824"/>
                          <pic:cNvPicPr>
                            <a:picLocks noChangeAspect="1" noChangeArrowheads="1"/>
                          </pic:cNvPicPr>
                        </pic:nvPicPr>
                        <pic:blipFill>
                          <a:blip r:embed="R740818689ad44fc9ad7189802e23f27b">
                            <a:extLst>
                              <a:ext uri="{28A0092B-C50C-407E-A947-70E740481C1C}">
                                <a14:useLocalDpi xmlns:a14="http://schemas.microsoft.com/office/drawing/2010/main" val="0"/>
                              </a:ext>
                            </a:extLst>
                          </a:blip>
                          <a:stretch>
                            <a:fillRect/>
                          </a:stretch>
                        </pic:blipFill>
                        <pic:spPr bwMode="auto">
                          <a:xfrm>
                            <a:off x="0" y="0"/>
                            <a:ext cx="5732144" cy="3036778"/>
                          </a:xfrm>
                          <a:prstGeom prst="rect">
                            <a:avLst/>
                          </a:prstGeom>
                          <a:noFill/>
                          <a:ln>
                            <a:noFill/>
                          </a:ln>
                        </pic:spPr>
                      </pic:pic>
                    </a:graphicData>
                  </a:graphic>
                </wp:inline>
              </w:drawing>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3079692"/>
                  <wp:effectExtent l="0" t="0" r="0" b="0"/>
                  <wp:docPr id="5" name="Picture 5" descr="/api/doc/v1/image/-25152152?moduleId=118&amp;id=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25152152?moduleId=118&amp;id=81824"/>
                          <pic:cNvPicPr>
                            <a:picLocks noChangeAspect="1" noChangeArrowheads="1"/>
                          </pic:cNvPicPr>
                        </pic:nvPicPr>
                        <pic:blipFill>
                          <a:blip r:embed="R8ee9b3ec3e2a4a9a9e5f77e7ac55f424">
                            <a:extLst>
                              <a:ext uri="{28A0092B-C50C-407E-A947-70E740481C1C}">
                                <a14:useLocalDpi xmlns:a14="http://schemas.microsoft.com/office/drawing/2010/main" val="0"/>
                              </a:ext>
                            </a:extLst>
                          </a:blip>
                          <a:stretch>
                            <a:fillRect/>
                          </a:stretch>
                        </pic:blipFill>
                        <pic:spPr bwMode="auto">
                          <a:xfrm>
                            <a:off x="0" y="0"/>
                            <a:ext cx="5732144" cy="3079692"/>
                          </a:xfrm>
                          <a:prstGeom prst="rect">
                            <a:avLst/>
                          </a:prstGeom>
                          <a:noFill/>
                          <a:ln>
                            <a:noFill/>
                          </a:ln>
                        </pic:spPr>
                      </pic:pic>
                    </a:graphicData>
                  </a:graphic>
                </wp:inline>
              </w:drawing>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10908627"/>
                  <wp:effectExtent l="0" t="0" r="0" b="0"/>
                  <wp:docPr id="6" name="Picture 6" descr="/api/doc/v1/image/-25152153?moduleId=118&amp;id=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25152153?moduleId=118&amp;id=81824"/>
                          <pic:cNvPicPr>
                            <a:picLocks noChangeAspect="1" noChangeArrowheads="1"/>
                          </pic:cNvPicPr>
                        </pic:nvPicPr>
                        <pic:blipFill>
                          <a:blip r:embed="R54cba5edbcb449d9863a5d06a785c572">
                            <a:extLst>
                              <a:ext uri="{28A0092B-C50C-407E-A947-70E740481C1C}">
                                <a14:useLocalDpi xmlns:a14="http://schemas.microsoft.com/office/drawing/2010/main" val="0"/>
                              </a:ext>
                            </a:extLst>
                          </a:blip>
                          <a:stretch>
                            <a:fillRect/>
                          </a:stretch>
                        </pic:blipFill>
                        <pic:spPr bwMode="auto">
                          <a:xfrm>
                            <a:off x="0" y="0"/>
                            <a:ext cx="5732144" cy="10908627"/>
                          </a:xfrm>
                          <a:prstGeom prst="rect">
                            <a:avLst/>
                          </a:prstGeom>
                          <a:noFill/>
                          <a:ln>
                            <a:noFill/>
                          </a:ln>
                        </pic:spPr>
                      </pic:pic>
                    </a:graphicData>
                  </a:graphic>
                </wp:inline>
              </w:drawing>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 осуществлять организацию временных анкерных точек с фактором падения не более 1 (схема 1 приложения № 10), при перемещении по конструкциям и высотным объектам с обеспечением своей безопасности вторым работником (страхующим).</w:t>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2 – страхующий канат;</w:t>
            </w:r>
          </w:p>
          <w:p>
            <w:pPr>
              <w:spacing w:line="240" w:lineRule="auto"/>
              <w:rPr>
                <w:rFonts w:hAnsi="Times New Roman" w:cs="Times New Roman"/>
                <w:color w:val="000000"/>
                <w:sz w:val="24"/>
                <w:szCs w:val="24"/>
              </w:rPr>
            </w:pPr>
            <w:r>
              <w:rPr>
                <w:rFonts w:hAnsi="Times New Roman" w:cs="Times New Roman"/>
                <w:color w:val="000000"/>
                <w:sz w:val="24"/>
                <w:szCs w:val="24"/>
              </w:rPr>
              <w:t>3 – амортизатор;</w:t>
            </w:r>
          </w:p>
          <w:p>
            <w:pPr>
              <w:spacing w:line="240" w:lineRule="auto"/>
              <w:rPr>
                <w:rFonts w:hAnsi="Times New Roman" w:cs="Times New Roman"/>
                <w:color w:val="000000"/>
                <w:sz w:val="24"/>
                <w:szCs w:val="24"/>
              </w:rPr>
            </w:pPr>
            <w:r>
              <w:rPr>
                <w:rFonts w:hAnsi="Times New Roman" w:cs="Times New Roman"/>
                <w:color w:val="000000"/>
                <w:sz w:val="24"/>
                <w:szCs w:val="24"/>
              </w:rPr>
              <w:t>4 – соединитель (карабин);</w:t>
            </w:r>
          </w:p>
          <w:p>
            <w:pPr>
              <w:spacing w:line="240" w:lineRule="auto"/>
              <w:rPr>
                <w:rFonts w:hAnsi="Times New Roman" w:cs="Times New Roman"/>
                <w:color w:val="000000"/>
                <w:sz w:val="24"/>
                <w:szCs w:val="24"/>
              </w:rPr>
            </w:pPr>
            <w:r>
              <w:rPr>
                <w:rFonts w:hAnsi="Times New Roman" w:cs="Times New Roman"/>
                <w:color w:val="000000"/>
                <w:sz w:val="24"/>
                <w:szCs w:val="24"/>
              </w:rPr>
              <w:t>5 – устройство, приводимое в действие вручную и создающее трение, которое позволяет страхующему совершать управляемое перемещение страхующего каната и остановку «без рук» в любом месте на страхующем канате;</w:t>
            </w:r>
          </w:p>
          <w:p>
            <w:pPr>
              <w:spacing w:line="240" w:lineRule="auto"/>
              <w:rPr>
                <w:rFonts w:hAnsi="Times New Roman" w:cs="Times New Roman"/>
                <w:color w:val="000000"/>
                <w:sz w:val="24"/>
                <w:szCs w:val="24"/>
              </w:rPr>
            </w:pPr>
            <w:r>
              <w:rPr>
                <w:rFonts w:hAnsi="Times New Roman" w:cs="Times New Roman"/>
                <w:color w:val="000000"/>
                <w:sz w:val="24"/>
                <w:szCs w:val="24"/>
              </w:rPr>
              <w:t>6 – защита рук страхующего.</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ПЛАН ЭВАКУАЦИИ И СПАСЕНИЯ</w:t>
      </w:r>
    </w:p>
    <w:p>
      <w:pPr>
        <w:spacing w:line="240" w:lineRule="auto"/>
        <w:rPr>
          <w:rFonts w:hAnsi="Times New Roman" w:cs="Times New Roman"/>
          <w:color w:val="000000"/>
          <w:sz w:val="24"/>
          <w:szCs w:val="24"/>
        </w:rPr>
      </w:pPr>
      <w:r>
        <w:rPr>
          <w:rFonts w:hAnsi="Times New Roman" w:cs="Times New Roman"/>
          <w:b/>
          <w:bCs/>
          <w:color w:val="000000"/>
          <w:sz w:val="24"/>
          <w:szCs w:val="24"/>
        </w:rPr>
        <w:t>3.1. Порядок проведения эвакуации и спасения.</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сорвался и завис на динамической страховке или устройстве ASAP, то его эвакуации с высоты не представляет труда. Нужно лишь освободить спусковое устройство от блокировки и плавно спустить пострадавшего на землю.</w:t>
      </w:r>
    </w:p>
    <w:p>
      <w:pPr>
        <w:spacing w:line="240" w:lineRule="auto"/>
        <w:rPr>
          <w:rFonts w:hAnsi="Times New Roman" w:cs="Times New Roman"/>
          <w:color w:val="000000"/>
          <w:sz w:val="24"/>
          <w:szCs w:val="24"/>
        </w:rPr>
      </w:pPr>
      <w:r>
        <w:rPr>
          <w:rFonts w:hAnsi="Times New Roman" w:cs="Times New Roman"/>
          <w:color w:val="000000"/>
          <w:sz w:val="24"/>
          <w:szCs w:val="24"/>
        </w:rPr>
        <w:t>Если работник сорвался и завис на самостраховке, закрепленной за конструкцию, то его спасение будет состоять из трех этапов:</w:t>
      </w:r>
    </w:p>
    <w:p>
      <w:pPr>
        <w:spacing w:line="240" w:lineRule="auto"/>
        <w:rPr>
          <w:rFonts w:hAnsi="Times New Roman" w:cs="Times New Roman"/>
          <w:color w:val="000000"/>
          <w:sz w:val="24"/>
          <w:szCs w:val="24"/>
        </w:rPr>
      </w:pPr>
      <w:r>
        <w:rPr>
          <w:rFonts w:hAnsi="Times New Roman" w:cs="Times New Roman"/>
          <w:b/>
          <w:bCs/>
          <w:color w:val="000000"/>
          <w:sz w:val="24"/>
          <w:szCs w:val="24"/>
        </w:rPr>
        <w:t>3.2. </w:t>
      </w:r>
      <w:r>
        <w:rPr>
          <w:rFonts w:hAnsi="Times New Roman" w:cs="Times New Roman"/>
          <w:b/>
          <w:bCs/>
          <w:color w:val="000000"/>
          <w:sz w:val="24"/>
          <w:szCs w:val="24"/>
        </w:rPr>
        <w:t>Подход к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3.3. </w:t>
      </w:r>
      <w:r>
        <w:rPr>
          <w:rFonts w:hAnsi="Times New Roman" w:cs="Times New Roman"/>
          <w:b/>
          <w:bCs/>
          <w:color w:val="000000"/>
          <w:sz w:val="24"/>
          <w:szCs w:val="24"/>
        </w:rPr>
        <w:t>Освобождение пострадавшего от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Спасатель присоединяет, при помощи локальной петли пострадавшего к себе. Присоединяет вторую самостраховку, теперь он может отсоединить все оборудование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Закрепляет на страховочной веревке зажим (жюмар). К зажиму крепит карабин и пропускает через него педаль для ноги. Поднимаясь на педали, спасатель отсоединяет пострадавшего от сработавшего самостраховочного стропа.</w:t>
      </w:r>
    </w:p>
    <w:p>
      <w:pPr>
        <w:spacing w:line="240" w:lineRule="auto"/>
        <w:rPr>
          <w:rFonts w:hAnsi="Times New Roman" w:cs="Times New Roman"/>
          <w:color w:val="000000"/>
          <w:sz w:val="24"/>
          <w:szCs w:val="24"/>
        </w:rPr>
      </w:pPr>
      <w:r>
        <w:rPr>
          <w:rFonts w:hAnsi="Times New Roman" w:cs="Times New Roman"/>
          <w:b/>
          <w:bCs/>
          <w:color w:val="000000"/>
          <w:sz w:val="24"/>
          <w:szCs w:val="24"/>
        </w:rPr>
        <w:t>3.4.</w:t>
      </w:r>
      <w:r>
        <w:rPr>
          <w:rFonts w:hAnsi="Times New Roman" w:cs="Times New Roman"/>
          <w:b/>
          <w:bCs/>
          <w:color w:val="000000"/>
          <w:sz w:val="24"/>
          <w:szCs w:val="24"/>
        </w:rPr>
        <w:t>Спуск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После переноса нагрузки на RIG спасатель пропускает свою веревку через карабин, для увеличения трения, при спуске с дополнительным весом. Спускается с пострадавшим на землю.</w:t>
      </w:r>
    </w:p>
    <w:p>
      <w:pPr>
        <w:spacing w:line="240" w:lineRule="auto"/>
        <w:rPr>
          <w:rFonts w:hAnsi="Times New Roman" w:cs="Times New Roman"/>
          <w:color w:val="000000"/>
          <w:sz w:val="24"/>
          <w:szCs w:val="24"/>
        </w:rPr>
      </w:pPr>
      <w:r>
        <w:rPr>
          <w:rFonts w:hAnsi="Times New Roman" w:cs="Times New Roman"/>
          <w:color w:val="000000"/>
          <w:sz w:val="24"/>
          <w:szCs w:val="24"/>
        </w:rPr>
        <w:t>Можно освободить пострадавшего от зависания и спустить его на землю при помощи полиспаста.</w:t>
      </w:r>
    </w:p>
    <w:p>
      <w:pPr>
        <w:spacing w:line="240" w:lineRule="auto"/>
        <w:rPr>
          <w:rFonts w:hAnsi="Times New Roman" w:cs="Times New Roman"/>
          <w:color w:val="000000"/>
          <w:sz w:val="24"/>
          <w:szCs w:val="24"/>
        </w:rPr>
      </w:pPr>
      <w:r>
        <w:rPr>
          <w:rFonts w:hAnsi="Times New Roman" w:cs="Times New Roman"/>
          <w:b/>
          <w:bCs/>
          <w:color w:val="000000"/>
          <w:sz w:val="24"/>
          <w:szCs w:val="24"/>
        </w:rPr>
        <w:t>3.5.</w:t>
      </w:r>
      <w:r>
        <w:rPr>
          <w:rFonts w:hAnsi="Times New Roman" w:cs="Times New Roman"/>
          <w:b/>
          <w:bCs/>
          <w:color w:val="000000"/>
          <w:sz w:val="24"/>
          <w:szCs w:val="24"/>
        </w:rPr>
        <w:t xml:space="preserve"> Действия по оказанию помощи пострадавшему. </w:t>
      </w:r>
    </w:p>
    <w:p>
      <w:pPr>
        <w:spacing w:line="240" w:lineRule="auto"/>
        <w:rPr>
          <w:rFonts w:hAnsi="Times New Roman" w:cs="Times New Roman"/>
          <w:color w:val="000000"/>
          <w:sz w:val="24"/>
          <w:szCs w:val="24"/>
        </w:rPr>
      </w:pPr>
      <w:r>
        <w:rPr>
          <w:rFonts w:hAnsi="Times New Roman" w:cs="Times New Roman"/>
          <w:color w:val="000000"/>
          <w:sz w:val="24"/>
          <w:szCs w:val="24"/>
        </w:rPr>
        <w:t>3.5.1. Обеспечить наличие средств оказания первой помощи, таких как: аптечка, носилки, шины, средства иммобилизации. Определить местонахождение средств оказания первой помощи в аппаратной базовой станции, при входе, слева у стены.</w:t>
      </w:r>
    </w:p>
    <w:p>
      <w:pPr>
        <w:spacing w:line="240" w:lineRule="auto"/>
        <w:rPr>
          <w:rFonts w:hAnsi="Times New Roman" w:cs="Times New Roman"/>
          <w:color w:val="000000"/>
          <w:sz w:val="24"/>
          <w:szCs w:val="24"/>
        </w:rPr>
      </w:pPr>
      <w:r>
        <w:rPr>
          <w:rFonts w:hAnsi="Times New Roman" w:cs="Times New Roman"/>
          <w:color w:val="000000"/>
          <w:sz w:val="24"/>
          <w:szCs w:val="24"/>
        </w:rPr>
        <w:t>3.5.2.Проверить наличие на страховочных системах петлей класса «А», а также амортизаторов.</w:t>
      </w:r>
    </w:p>
    <w:p>
      <w:pPr>
        <w:spacing w:line="240" w:lineRule="auto"/>
        <w:rPr>
          <w:rFonts w:hAnsi="Times New Roman" w:cs="Times New Roman"/>
          <w:color w:val="000000"/>
          <w:sz w:val="24"/>
          <w:szCs w:val="24"/>
        </w:rPr>
      </w:pPr>
      <w:r>
        <w:rPr>
          <w:rFonts w:hAnsi="Times New Roman" w:cs="Times New Roman"/>
          <w:color w:val="000000"/>
          <w:sz w:val="24"/>
          <w:szCs w:val="24"/>
        </w:rPr>
        <w:t>3.5.3. Предусмотреть наличие в рабочей зоне резервных систем позиционирования, а также наличие, необходимых средств для подъема или спуска.</w:t>
      </w:r>
    </w:p>
    <w:p>
      <w:pPr>
        <w:spacing w:line="240" w:lineRule="auto"/>
        <w:rPr>
          <w:rFonts w:hAnsi="Times New Roman" w:cs="Times New Roman"/>
          <w:color w:val="000000"/>
          <w:sz w:val="24"/>
          <w:szCs w:val="24"/>
        </w:rPr>
      </w:pPr>
      <w:r>
        <w:rPr>
          <w:rFonts w:hAnsi="Times New Roman" w:cs="Times New Roman"/>
          <w:color w:val="000000"/>
          <w:sz w:val="24"/>
          <w:szCs w:val="24"/>
        </w:rPr>
        <w:t>3.5.4. Перед началом работ предусмотреть монтаж рабочего и страховочного канатов с креплением к горизонтальной балке в верхней точке АМС. Крепление канатов произвести используя узел «восьмерка» с фиксацией через стальной карабин к локальной петле, переброшенной вокруг балки (обязательно к выполнению страховочного узла). При этом длинна канатов должна обеспечивать возможность спуска до поверхности земли, с обязательным наличием стопорных узлов на концах.</w:t>
      </w:r>
    </w:p>
    <w:p>
      <w:pPr>
        <w:spacing w:line="240" w:lineRule="auto"/>
        <w:rPr>
          <w:rFonts w:hAnsi="Times New Roman" w:cs="Times New Roman"/>
          <w:color w:val="000000"/>
          <w:sz w:val="24"/>
          <w:szCs w:val="24"/>
        </w:rPr>
      </w:pPr>
      <w:r>
        <w:rPr>
          <w:rFonts w:hAnsi="Times New Roman" w:cs="Times New Roman"/>
          <w:color w:val="000000"/>
          <w:sz w:val="24"/>
          <w:szCs w:val="24"/>
        </w:rPr>
        <w:t>3.5.5. В случае аварийной ситуации, такой как потеря сознания одного из состава бригады выполняющей работы, произвести локализацию пострадавшего на площадке выполнения работ с дальнейшим выполнением мероприятий по оказанию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3.5.6. При сохранении угрозы жизни пострадавшего, произвести его эвакуацию посредствам рабочего и страховочного канатов до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3.5.7. В случае зависания пострадавшего на страховочном устройстве, произвести его спуск на ближайшую площадку посредством рабочего и страховочного канатов с дальнейшим выполнением мероприятий по оказанию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3.5.8. При сохранении угрозы жизни пострадавшего, произвести его эвакуацию посредствам рабочего и страховочного канатов до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3.5.9. В случае затруднения позиционирования пострадавшего на площадку АМС, произвести его спуск по средствам рабочего и страховочного канатов до поверхности земли с дальнейшим выполнением мероприятий по оказанию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3.6. </w:t>
      </w:r>
      <w:r>
        <w:rPr>
          <w:rFonts w:hAnsi="Times New Roman" w:cs="Times New Roman"/>
          <w:b/>
          <w:bCs/>
          <w:color w:val="000000"/>
          <w:sz w:val="24"/>
          <w:szCs w:val="24"/>
        </w:rPr>
        <w:t>Действия при оказании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3.6.1. Вызов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112, добавочный 3;</w:t>
      </w:r>
    </w:p>
    <w:p>
      <w:pPr>
        <w:spacing w:line="240" w:lineRule="auto"/>
        <w:rPr>
          <w:rFonts w:hAnsi="Times New Roman" w:cs="Times New Roman"/>
          <w:color w:val="000000"/>
          <w:sz w:val="24"/>
          <w:szCs w:val="24"/>
        </w:rPr>
      </w:pPr>
      <w:r>
        <w:rPr>
          <w:rFonts w:hAnsi="Times New Roman" w:cs="Times New Roman"/>
          <w:color w:val="000000"/>
          <w:sz w:val="24"/>
          <w:szCs w:val="24"/>
        </w:rPr>
        <w:t>030 – для оператора МегаФон/Теле2;</w:t>
      </w:r>
    </w:p>
    <w:p>
      <w:pPr>
        <w:spacing w:line="240" w:lineRule="auto"/>
        <w:rPr>
          <w:rFonts w:hAnsi="Times New Roman" w:cs="Times New Roman"/>
          <w:color w:val="000000"/>
          <w:sz w:val="24"/>
          <w:szCs w:val="24"/>
        </w:rPr>
      </w:pPr>
      <w:r>
        <w:rPr>
          <w:rFonts w:hAnsi="Times New Roman" w:cs="Times New Roman"/>
          <w:color w:val="000000"/>
          <w:sz w:val="24"/>
          <w:szCs w:val="24"/>
        </w:rPr>
        <w:t>103 – для оператор МТС/Билайн/Теле2;</w:t>
      </w:r>
    </w:p>
    <w:p>
      <w:pPr>
        <w:spacing w:line="240" w:lineRule="auto"/>
        <w:rPr>
          <w:rFonts w:hAnsi="Times New Roman" w:cs="Times New Roman"/>
          <w:color w:val="000000"/>
          <w:sz w:val="24"/>
          <w:szCs w:val="24"/>
        </w:rPr>
      </w:pPr>
      <w:r>
        <w:rPr>
          <w:rFonts w:hAnsi="Times New Roman" w:cs="Times New Roman"/>
          <w:color w:val="000000"/>
          <w:sz w:val="24"/>
          <w:szCs w:val="24"/>
        </w:rPr>
        <w:t>03* – для оператора Теле2.</w:t>
      </w:r>
    </w:p>
    <w:p>
      <w:pPr>
        <w:spacing w:line="240" w:lineRule="auto"/>
        <w:rPr>
          <w:rFonts w:hAnsi="Times New Roman" w:cs="Times New Roman"/>
          <w:color w:val="000000"/>
          <w:sz w:val="24"/>
          <w:szCs w:val="24"/>
        </w:rPr>
      </w:pPr>
      <w:r>
        <w:rPr>
          <w:rFonts w:hAnsi="Times New Roman" w:cs="Times New Roman"/>
          <w:color w:val="000000"/>
          <w:sz w:val="24"/>
          <w:szCs w:val="24"/>
        </w:rPr>
        <w:t>3.6.2. Обеспечить оказание первой помощи, работником бригады, имеющим навыки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3.6.3. Определить наличие пульса, самостоятельного дыхания, реакции зрачков на свет.</w:t>
      </w:r>
    </w:p>
    <w:p>
      <w:pPr>
        <w:spacing w:line="240" w:lineRule="auto"/>
        <w:rPr>
          <w:rFonts w:hAnsi="Times New Roman" w:cs="Times New Roman"/>
          <w:color w:val="000000"/>
          <w:sz w:val="24"/>
          <w:szCs w:val="24"/>
        </w:rPr>
      </w:pPr>
      <w:r>
        <w:rPr>
          <w:rFonts w:hAnsi="Times New Roman" w:cs="Times New Roman"/>
          <w:color w:val="000000"/>
          <w:sz w:val="24"/>
          <w:szCs w:val="24"/>
        </w:rPr>
        <w:t>3.6.4. Обеспечить проходимость верхних дыхательных путей.</w:t>
      </w:r>
    </w:p>
    <w:p>
      <w:pPr>
        <w:spacing w:line="240" w:lineRule="auto"/>
        <w:rPr>
          <w:rFonts w:hAnsi="Times New Roman" w:cs="Times New Roman"/>
          <w:color w:val="000000"/>
          <w:sz w:val="24"/>
          <w:szCs w:val="24"/>
        </w:rPr>
      </w:pPr>
      <w:r>
        <w:rPr>
          <w:rFonts w:hAnsi="Times New Roman" w:cs="Times New Roman"/>
          <w:color w:val="000000"/>
          <w:sz w:val="24"/>
          <w:szCs w:val="24"/>
        </w:rPr>
        <w:t>3.6.5. Восстановить дыхание и сердечную деятельность путем применения искусственного дыхания и непрямого массажа сердца.</w:t>
      </w:r>
    </w:p>
    <w:p>
      <w:pPr>
        <w:spacing w:line="240" w:lineRule="auto"/>
        <w:rPr>
          <w:rFonts w:hAnsi="Times New Roman" w:cs="Times New Roman"/>
          <w:color w:val="000000"/>
          <w:sz w:val="24"/>
          <w:szCs w:val="24"/>
        </w:rPr>
      </w:pPr>
      <w:r>
        <w:rPr>
          <w:rFonts w:hAnsi="Times New Roman" w:cs="Times New Roman"/>
          <w:color w:val="000000"/>
          <w:sz w:val="24"/>
          <w:szCs w:val="24"/>
        </w:rPr>
        <w:t>3.6.6. Остановить наружное кровотечение.</w:t>
      </w:r>
    </w:p>
    <w:p>
      <w:pPr>
        <w:spacing w:line="240" w:lineRule="auto"/>
        <w:rPr>
          <w:rFonts w:hAnsi="Times New Roman" w:cs="Times New Roman"/>
          <w:color w:val="000000"/>
          <w:sz w:val="24"/>
          <w:szCs w:val="24"/>
        </w:rPr>
      </w:pPr>
      <w:r>
        <w:rPr>
          <w:rFonts w:hAnsi="Times New Roman" w:cs="Times New Roman"/>
          <w:color w:val="000000"/>
          <w:sz w:val="24"/>
          <w:szCs w:val="24"/>
        </w:rPr>
        <w:t>3.6.7. Наложить герметизирующую повязку на грудную клетку при проникающем ранении.</w:t>
      </w:r>
    </w:p>
    <w:p>
      <w:pPr>
        <w:spacing w:line="240" w:lineRule="auto"/>
        <w:rPr>
          <w:rFonts w:hAnsi="Times New Roman" w:cs="Times New Roman"/>
          <w:color w:val="000000"/>
          <w:sz w:val="24"/>
          <w:szCs w:val="24"/>
        </w:rPr>
      </w:pPr>
      <w:r>
        <w:rPr>
          <w:rFonts w:hAnsi="Times New Roman" w:cs="Times New Roman"/>
          <w:color w:val="000000"/>
          <w:sz w:val="24"/>
          <w:szCs w:val="24"/>
        </w:rPr>
        <w:t>3.6.7. Только после остановки наружного кровотечения, восстановления самостоятельного дыхания и сердцебиения делай следующее: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наложить асептическую (чистую) повязку на раны;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неподвижность частей тела в местах перелома;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приложить холод к больному месту (ушиба, перелома, ранения);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уложить в сохраняющее положение, защитить от переохлаждения, дать теплое подсоленное или сладкое питье (не поить и не кормить при отсутствии сознания и травме живота).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4. ПОРЯДОК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4.1. Перед началом проведения работ,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отсутствие грозы и ее приближения, гололеда, дождя, тумана, скорости ветра более 12 м/c;</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оформить и согласовать заявку на проведение плановых работ в организационной системе организации;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дежурную смену о проведении работ с указанием номера заявки;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сигнальное освещение мачты;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регламентированные меры по невозможности несанкционированного включения электропитания, вывесить плакаты «Не включать. Работают люди»;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выполнение подготовительных работ плана эвакуации;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установлены постоянные или временные ограждающие устройства;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используемые средства подмащивания, в том числе лестницы, стремянки, настилы, туры, леса соответствуют требованиям и предписаны (не запрещены) инструкцией (нарядом-допуском) к применению и надёжны;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используемые грузоподъемные механизмы, люльки подъемников (вышек) предписаны инструкцией (нарядом-допуском), находятся в исправности и расположены в установленных местах (в соответствии типов, места установки и режима работы машин (механизмов);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способах, средствах защиты машиниста и работающих вблизи людей от действия вредных и опасных производственных факторов;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обеспечении величины ограничения пути движения или угла поворота машины;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обеспечении средства связи машиниста с работающими (звуковая сигнализация, радио- и телефонная связь); в выполнении других особых условий установки машины в опасной зоне);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системы обеспечения безопасности работ на высоте и входящая в них номенклатура устройств, приспособлений и средств индивидуальной и коллективной защиты работников от падения с высоты и потребность в них;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места и способы крепления систем обеспечения безопасности работ на высоте соответствуют инструкции (наряду-допуску);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номенклатура средств по защите работников от выявленных при оценке условий труда опасных и вредных условий труда – шума, вибрации, воздействия других опасных факторов, а также вредных веществ в воздухе рабочей зоны, соответствует порядку выдачи СИЗ, сертифицированы и исправны;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имеются пути и средства подъема работников к рабочим местам или местам производства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средства освещения рабочих мест, проходов и проездов, а также средства сигнализации и связи исправны и соответствуют регламентированным нормам;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выполнены требования по требования по организации рабочих мест с применением технических средств безопасности и первичных средств пожаротушения;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что выполнены требования по санитарно-бытовому обслуживанию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4.2. Перед началом проведения работ, необходимо указать на высоте места складирования и их монтажа, в целях предупреждения опасности падения конструкций, изделий или материалов с высоты при перемещении их грузоподъемным краном или при потере устойчивости в процессе работы и монтажа:</w:t>
      </w:r>
    </w:p>
    <w:p>
      <w:pPr>
        <w:spacing w:line="240" w:lineRule="auto"/>
        <w:rPr>
          <w:rFonts w:hAnsi="Times New Roman" w:cs="Times New Roman"/>
          <w:color w:val="000000"/>
          <w:sz w:val="24"/>
          <w:szCs w:val="24"/>
        </w:rPr>
      </w:pPr>
      <w:r>
        <w:rPr>
          <w:rFonts w:hAnsi="Times New Roman" w:cs="Times New Roman"/>
          <w:color w:val="000000"/>
          <w:sz w:val="24"/>
          <w:szCs w:val="24"/>
        </w:rPr>
        <w:t>а) средства контейнеризации и тара для перемещения штучных и сыпучих материалов, бетона и раствора с учетом характера перемещаемого груза и удобства подачи его к месту работ;</w:t>
      </w:r>
    </w:p>
    <w:p>
      <w:pPr>
        <w:spacing w:line="240" w:lineRule="auto"/>
        <w:rPr>
          <w:rFonts w:hAnsi="Times New Roman" w:cs="Times New Roman"/>
          <w:color w:val="000000"/>
          <w:sz w:val="24"/>
          <w:szCs w:val="24"/>
        </w:rPr>
      </w:pPr>
      <w:r>
        <w:rPr>
          <w:rFonts w:hAnsi="Times New Roman" w:cs="Times New Roman"/>
          <w:color w:val="000000"/>
          <w:sz w:val="24"/>
          <w:szCs w:val="24"/>
        </w:rPr>
        <w:t>б) способы строповки, обеспечивающие подачу элементов в положение, соответствующее или близкое к проектному;</w:t>
      </w:r>
    </w:p>
    <w:p>
      <w:pPr>
        <w:spacing w:line="240" w:lineRule="auto"/>
        <w:rPr>
          <w:rFonts w:hAnsi="Times New Roman" w:cs="Times New Roman"/>
          <w:color w:val="000000"/>
          <w:sz w:val="24"/>
          <w:szCs w:val="24"/>
        </w:rPr>
      </w:pPr>
      <w:r>
        <w:rPr>
          <w:rFonts w:hAnsi="Times New Roman" w:cs="Times New Roman"/>
          <w:color w:val="000000"/>
          <w:sz w:val="24"/>
          <w:szCs w:val="24"/>
        </w:rPr>
        <w:t>в) приспособления (пирамиды, кассеты) для устойчивого хранения элементов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г) порядок и способы складирования изделий, материалов,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д) способы окончательного закрепления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е) способы временного закрепления разбираемых элементов при демонтаже конструкций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ж) способы удаления отходов и мусора;</w:t>
      </w:r>
    </w:p>
    <w:p>
      <w:pPr>
        <w:spacing w:line="240" w:lineRule="auto"/>
        <w:rPr>
          <w:rFonts w:hAnsi="Times New Roman" w:cs="Times New Roman"/>
          <w:color w:val="000000"/>
          <w:sz w:val="24"/>
          <w:szCs w:val="24"/>
        </w:rPr>
      </w:pPr>
      <w:r>
        <w:rPr>
          <w:rFonts w:hAnsi="Times New Roman" w:cs="Times New Roman"/>
          <w:color w:val="000000"/>
          <w:sz w:val="24"/>
          <w:szCs w:val="24"/>
        </w:rPr>
        <w:t>з) защитные перекрытия (настилы) или козырьки при выполнении работ по одной вертикали.</w:t>
      </w:r>
    </w:p>
    <w:p>
      <w:pPr>
        <w:spacing w:line="240" w:lineRule="auto"/>
        <w:rPr>
          <w:rFonts w:hAnsi="Times New Roman" w:cs="Times New Roman"/>
          <w:color w:val="000000"/>
          <w:sz w:val="24"/>
          <w:szCs w:val="24"/>
        </w:rPr>
      </w:pPr>
      <w:r>
        <w:rPr>
          <w:rFonts w:hAnsi="Times New Roman" w:cs="Times New Roman"/>
          <w:color w:val="000000"/>
          <w:sz w:val="24"/>
          <w:szCs w:val="24"/>
        </w:rPr>
        <w:t>4.3. Перед началом проведения работ, необходимо проверить обеспечение защиты от поражения электрическим током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указаний по выбору трасс и определению напряжения временных силовых и осветительных электросетей, ограждению токоведущих частей и расположению вводно-распределительных систем 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указаний по заземлению металлических частей электрооборудования и исполнению заземляющих контуров;</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предписанных дополнительных защитных мероприятий при производстве работ с повышенной опасностью и особо 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 Перед началом проведения работ, необходимо проверить выполнение дополнительных мероприятий, осуществляемых при совмещенных работах, при работах в условиях работающего производства, вблизи сооружений, коммуникаций, работающих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4.5.</w:t>
      </w:r>
      <w:r>
        <w:rPr>
          <w:rFonts w:hAnsi="Times New Roman" w:cs="Times New Roman"/>
          <w:b/>
          <w:bCs/>
          <w:color w:val="000000"/>
          <w:sz w:val="24"/>
          <w:szCs w:val="24"/>
        </w:rPr>
        <w:t xml:space="preserve">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4.5.1. Укомплектовать мешок инструментами, необходимыми для выполнения работ, а именно: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отвертка плоская – 1шт.;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отвертка крест – 1шт.;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бокорезы – 1шт.;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пластиковые стяжки уличного использования (черные) – 100шт (1 упаковка);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пассатижи – 1шт.;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нож – 1шт.</w:t>
      </w:r>
    </w:p>
    <w:p>
      <w:pPr>
        <w:spacing w:line="240" w:lineRule="auto"/>
        <w:rPr>
          <w:rFonts w:hAnsi="Times New Roman" w:cs="Times New Roman"/>
          <w:color w:val="000000"/>
          <w:sz w:val="24"/>
          <w:szCs w:val="24"/>
        </w:rPr>
      </w:pPr>
      <w:r>
        <w:rPr>
          <w:rFonts w:hAnsi="Times New Roman" w:cs="Times New Roman"/>
          <w:color w:val="000000"/>
          <w:sz w:val="24"/>
          <w:szCs w:val="24"/>
        </w:rPr>
        <w:t>4.5.2. Произвести подъем на АМС по штатной лестнице до уровня расположения блоков Huawei RRU 3936 LTE800. При этом осуществить подъем поочередно, не более одного работника на лестничном марше.</w:t>
      </w:r>
    </w:p>
    <w:p>
      <w:pPr>
        <w:spacing w:line="240" w:lineRule="auto"/>
        <w:rPr>
          <w:rFonts w:hAnsi="Times New Roman" w:cs="Times New Roman"/>
          <w:color w:val="000000"/>
          <w:sz w:val="24"/>
          <w:szCs w:val="24"/>
        </w:rPr>
      </w:pPr>
      <w:r>
        <w:rPr>
          <w:rFonts w:hAnsi="Times New Roman" w:cs="Times New Roman"/>
          <w:color w:val="000000"/>
          <w:sz w:val="24"/>
          <w:szCs w:val="24"/>
        </w:rPr>
        <w:t>4.5.3. Произвести отключение интерфейсных кабелей AISG от RRU LTE800, для этого открутить два штатных болтовых крепления штекера кабеля и вынуть из разъема RRU.</w:t>
      </w:r>
    </w:p>
    <w:p>
      <w:pPr>
        <w:spacing w:line="240" w:lineRule="auto"/>
        <w:rPr>
          <w:rFonts w:hAnsi="Times New Roman" w:cs="Times New Roman"/>
          <w:color w:val="000000"/>
          <w:sz w:val="24"/>
          <w:szCs w:val="24"/>
        </w:rPr>
      </w:pPr>
      <w:r>
        <w:rPr>
          <w:rFonts w:hAnsi="Times New Roman" w:cs="Times New Roman"/>
          <w:color w:val="000000"/>
          <w:sz w:val="24"/>
          <w:szCs w:val="24"/>
        </w:rPr>
        <w:t>4.5.4. Подключить интерфейсные кабели AISG к RRU UMTS 2100, для этого соединить штекер кабеля с разъемом RRU и закрутить штатные болтовые крепления штекера. При необходимости, переложить трассу прохождения кабелей в целях минимизации возможности его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4.5.5. Произвести фотоотчет выполненного подключения, а также общий вид оборудования на АМС.</w:t>
      </w:r>
    </w:p>
    <w:p>
      <w:pPr>
        <w:spacing w:line="240" w:lineRule="auto"/>
        <w:rPr>
          <w:rFonts w:hAnsi="Times New Roman" w:cs="Times New Roman"/>
          <w:color w:val="000000"/>
          <w:sz w:val="24"/>
          <w:szCs w:val="24"/>
        </w:rPr>
      </w:pPr>
      <w:r>
        <w:rPr>
          <w:rFonts w:hAnsi="Times New Roman" w:cs="Times New Roman"/>
          <w:color w:val="000000"/>
          <w:sz w:val="24"/>
          <w:szCs w:val="24"/>
        </w:rPr>
        <w:t>4.5.6. Произвести спуск с АМС по штатной лестнице.</w:t>
      </w:r>
    </w:p>
    <w:p>
      <w:pPr>
        <w:spacing w:line="240" w:lineRule="auto"/>
        <w:rPr>
          <w:rFonts w:hAnsi="Times New Roman" w:cs="Times New Roman"/>
          <w:color w:val="000000"/>
          <w:sz w:val="24"/>
          <w:szCs w:val="24"/>
        </w:rPr>
      </w:pPr>
      <w:r>
        <w:rPr>
          <w:rFonts w:hAnsi="Times New Roman" w:cs="Times New Roman"/>
          <w:color w:val="000000"/>
          <w:sz w:val="24"/>
          <w:szCs w:val="24"/>
        </w:rPr>
        <w:t>4.5.7. Обеспечение схемы монтажа конструкций и оборудования согласно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4.5.8. Обеспечение объемов и трудоемкости работ за счет применения имеющихся грузо-подъёмных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4.5.9. Обеспечение безопасного размещения машин и механизмов на площадке;</w:t>
      </w:r>
    </w:p>
    <w:p>
      <w:pPr>
        <w:spacing w:line="240" w:lineRule="auto"/>
        <w:rPr>
          <w:rFonts w:hAnsi="Times New Roman" w:cs="Times New Roman"/>
          <w:color w:val="000000"/>
          <w:sz w:val="24"/>
          <w:szCs w:val="24"/>
        </w:rPr>
      </w:pPr>
      <w:r>
        <w:rPr>
          <w:rFonts w:hAnsi="Times New Roman" w:cs="Times New Roman"/>
          <w:color w:val="000000"/>
          <w:sz w:val="24"/>
          <w:szCs w:val="24"/>
        </w:rPr>
        <w:t>4.5.10. Следить за исправностью технических средств безопасности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4.6. </w:t>
      </w:r>
      <w:r>
        <w:rPr>
          <w:rFonts w:hAnsi="Times New Roman" w:cs="Times New Roman"/>
          <w:b/>
          <w:bCs/>
          <w:color w:val="000000"/>
          <w:sz w:val="24"/>
          <w:szCs w:val="24"/>
        </w:rPr>
        <w:t>Завершение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4.6.1. Включить сигнальное освещение мачты.</w:t>
      </w:r>
    </w:p>
    <w:p>
      <w:pPr>
        <w:spacing w:line="240" w:lineRule="auto"/>
        <w:rPr>
          <w:rFonts w:hAnsi="Times New Roman" w:cs="Times New Roman"/>
          <w:color w:val="000000"/>
          <w:sz w:val="24"/>
          <w:szCs w:val="24"/>
        </w:rPr>
      </w:pPr>
      <w:r>
        <w:rPr>
          <w:rFonts w:hAnsi="Times New Roman" w:cs="Times New Roman"/>
          <w:color w:val="000000"/>
          <w:sz w:val="24"/>
          <w:szCs w:val="24"/>
        </w:rPr>
        <w:t>4.6.2. Оповестить службу эксплуатации о выполнении работ для проверки и настройки параметров электрических углов наклона антенн.</w:t>
      </w:r>
    </w:p>
    <w:p>
      <w:pPr>
        <w:spacing w:line="240" w:lineRule="auto"/>
        <w:rPr>
          <w:rFonts w:hAnsi="Times New Roman" w:cs="Times New Roman"/>
          <w:color w:val="000000"/>
          <w:sz w:val="24"/>
          <w:szCs w:val="24"/>
        </w:rPr>
      </w:pPr>
      <w:r>
        <w:rPr>
          <w:rFonts w:hAnsi="Times New Roman" w:cs="Times New Roman"/>
          <w:color w:val="000000"/>
          <w:sz w:val="24"/>
          <w:szCs w:val="24"/>
        </w:rPr>
        <w:t>4.6.3.Снять блокировки с точек включения электропитания, убрать плакаты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4.6.4. Убрать рабочее место. Обеспечить чистоту.</w:t>
      </w:r>
    </w:p>
    <w:p>
      <w:pPr>
        <w:spacing w:line="240" w:lineRule="auto"/>
        <w:rPr>
          <w:rFonts w:hAnsi="Times New Roman" w:cs="Times New Roman"/>
          <w:color w:val="000000"/>
          <w:sz w:val="24"/>
          <w:szCs w:val="24"/>
        </w:rPr>
      </w:pPr>
      <w:r>
        <w:rPr>
          <w:rFonts w:hAnsi="Times New Roman" w:cs="Times New Roman"/>
          <w:color w:val="000000"/>
          <w:sz w:val="24"/>
          <w:szCs w:val="24"/>
        </w:rPr>
        <w:t>4.6.5. Оповестить дежурную смену ОТУ RAN об окончании проведения работ с указанием номера заявки.</w:t>
      </w:r>
    </w:p>
    <w:p>
      <w:pPr>
        <w:spacing w:line="240" w:lineRule="auto"/>
        <w:rPr>
          <w:rFonts w:hAnsi="Times New Roman" w:cs="Times New Roman"/>
          <w:color w:val="000000"/>
          <w:sz w:val="24"/>
          <w:szCs w:val="24"/>
        </w:rPr>
      </w:pPr>
      <w:r>
        <w:rPr>
          <w:rFonts w:hAnsi="Times New Roman" w:cs="Times New Roman"/>
          <w:color w:val="000000"/>
          <w:sz w:val="24"/>
          <w:szCs w:val="24"/>
        </w:rPr>
        <w:t>4.6.6. Снять временные ограждения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4.6.7. Убрать инструменты, аппаратуру, оборудование в предназначенные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4.6.8. Снять СИЗ и бережно с соблюдением целостности и исключения порчи убрать в предназначенные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4.6.9. Выполнить санитарно-гигиенические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color w:val="000000"/>
          <w:sz w:val="24"/>
          <w:szCs w:val="24"/>
        </w:rPr>
        <w:t>Следующая страница</w:t>
      </w:r>
    </w:p>
    <w:p>
      <w:pPr>
        <w:spacing w:line="240" w:lineRule="auto"/>
        <w:rPr>
          <w:rFonts w:hAnsi="Times New Roman" w:cs="Times New Roman"/>
          <w:color w:val="000000"/>
          <w:sz w:val="24"/>
          <w:szCs w:val="24"/>
        </w:rPr>
      </w:pPr>
      <w:r>
        <w:rPr>
          <w:rFonts w:hAnsi="Times New Roman" w:cs="Times New Roman"/>
          <w:b/>
          <w:bCs/>
          <w:color w:val="000000"/>
          <w:sz w:val="24"/>
          <w:szCs w:val="24"/>
        </w:rPr>
        <w:t>ЛИСТ ОЗНАКОМЛЕНИЯ С ППР</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1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Должность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ФИО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Дата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Подпись</w:t>
            </w:r>
          </w:p>
        </w:tc>
      </w:tr>
      <w:tr>
        <w:trPr>
          <w:trHeight w:val="1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15"/>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ad402069354b69" /><Relationship Type="http://schemas.openxmlformats.org/officeDocument/2006/relationships/image" Target="/media/image.jpg" Id="R7e56022fc2b74394a2b98e90ae4f0479" /><Relationship Type="http://schemas.openxmlformats.org/officeDocument/2006/relationships/image" Target="/media/image2.jpg" Id="Rc202b80d46ab45958f6826e4c39da9d8" /><Relationship Type="http://schemas.openxmlformats.org/officeDocument/2006/relationships/image" Target="/media/image3.jpg" Id="Rc2d07e17b00a442db3afdedc406f63be" /><Relationship Type="http://schemas.openxmlformats.org/officeDocument/2006/relationships/image" Target="/media/image4.jpg" Id="R740818689ad44fc9ad7189802e23f27b" /><Relationship Type="http://schemas.openxmlformats.org/officeDocument/2006/relationships/image" Target="/media/image5.jpg" Id="R8ee9b3ec3e2a4a9a9e5f77e7ac55f424" /><Relationship Type="http://schemas.openxmlformats.org/officeDocument/2006/relationships/image" Target="/media/image6.jpg" Id="R54cba5edbcb449d9863a5d06a785c5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