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 Р И К А 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  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графика проверки знаний требований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требований статей </w:t>
      </w:r>
      <w:r>
        <w:rPr>
          <w:rFonts w:hAnsi="Times New Roman" w:cs="Times New Roman"/>
          <w:color w:val="000000"/>
          <w:sz w:val="24"/>
          <w:szCs w:val="24"/>
        </w:rPr>
        <w:t>212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225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 и Правил обучения по охране труда и проверки знания требований охраны труда, утвержденных 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ПРИКАЗЫВАЮ: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Утвердить график проведения проверки знаний для работников 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rPr>
          <w:rFonts w:hAnsi="Times New Roman" w:cs="Times New Roman"/>
          <w:color w:val="000000"/>
          <w:sz w:val="24"/>
          <w:szCs w:val="24"/>
        </w:rPr>
        <w:t>указанные в приложении к настоящему приказу.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Настоящий приказ выступает в силу со дня его подписания директором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Контроль за исполнением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Директор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к приказу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План-график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проверки знаний требований охраны труда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Ф.И.О.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Профессия/должность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Структурное подразделение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проверки знания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приказом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 года работники ознакомлены.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4d84b0e2e404a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