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Пример сопоставления идентифицированного требования к безопасному выполнению работ с объектом исследования, источником опасности, опасным фактором и опасностью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Исходные данные: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Профессия работника 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Рассматриваемая выполняемая работа –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Инвентаризированные требования к безопасному выполнению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работе на высоте,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16 ноября 2020 года № 782н</w:t>
      </w:r>
      <w:r>
        <w:rPr>
          <w:rFonts w:hAnsi="Times New Roman" w:cs="Times New Roman"/>
          <w:color w:val="000000"/>
          <w:sz w:val="24"/>
          <w:szCs w:val="24"/>
        </w:rPr>
        <w:t> (далее – Правила):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Сопоставление требование - опасность: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Объект исследования – </w:t>
      </w:r>
      <w:r>
        <w:rPr>
          <w:rFonts w:hAnsi="Times New Roman" w:cs="Times New Roman"/>
          <w:color w:val="000000"/>
          <w:sz w:val="24"/>
          <w:szCs w:val="24"/>
        </w:rPr>
        <w:t>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Источник профессионального риска 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Фактор профессионального риска 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Требования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Требования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013cf5c1b85478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