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Генеральному директору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специалиста по охране труда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Служебная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                                                                                                           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Уважаемый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, уведомляю Вас о том, что в утвержденном Плане мероприятий по охране труда на 2022 год запланировано: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Итого: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Вас выделить денежные средства на проведение данных мероприятий. Если эти мероприятия не провести, то наша компания попадает под административные штрафы </w:t>
      </w:r>
      <w:r>
        <w:rPr>
          <w:rFonts w:hAnsi="Times New Roman" w:cs="Times New Roman"/>
          <w:color w:val="000000"/>
          <w:sz w:val="24"/>
          <w:szCs w:val="24"/>
        </w:rPr>
        <w:t>КоАП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работодателем установленного порядка проведения специальной оценки условий труда на рабочих местах или её непроведение влечёт предупреждение или наложение административного штрафа на должностных лиц в размере от 5 000 до 10 000 руб.; на юридических лиц от 60 000 до 80 000 руб.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работника к исполнению им трудовых обязанностей без прохождения в установленном порядке обучения и проверки знаний требований охраны труда, а также обязательных предварительных (при поступлении на работу) и периодических (в течение трудовой деятельности) медицинских осмотров, обязательных медицинских осмотров в начале рабочего дня (смены), обязательных психиатрических освидетельствований или при наличии медицинских противопоказаний влечёт наложение административного штрафа на должностных лиц в размере от 15 000 до 25 000 руб.; на юридических лиц - от 110 000 до 130 000 руб.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Необеспечение работников средствами индивидуальной защиты влечёт наложение административного штрафа на должностных лиц в размере от 20 000 до 30 000 руб.; на юридических лиц - от 130 000 до 150 000 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нарушения могут быть выявлены контрольно-надзорными органами с последующим наложением административных штрафов в следующих случаях: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внеплановая проверка (обращение работника в контрольно-надзорные органы, поручение Президента, Правительства, Прокурора 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несчастный случай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Хочу обратить Ваше внимание на то, что данные нарушения могут также являться причиной наступления уголовной ответственности, предусмотренной </w:t>
      </w:r>
      <w:r>
        <w:rPr>
          <w:rFonts w:hAnsi="Times New Roman" w:cs="Times New Roman"/>
          <w:color w:val="000000"/>
          <w:sz w:val="24"/>
          <w:szCs w:val="24"/>
        </w:rPr>
        <w:t>ст. 143</w:t>
      </w:r>
      <w:r>
        <w:rPr>
          <w:rFonts w:hAnsi="Times New Roman" w:cs="Times New Roman"/>
          <w:color w:val="000000"/>
          <w:sz w:val="24"/>
          <w:szCs w:val="24"/>
        </w:rPr>
        <w:t xml:space="preserve"> Уголовного кодекса.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Специалист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  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edd435ae344e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