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глазировщика 2 разряда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глазировщика 2 разряда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глазировщика 2 разряда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глазировщика 2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глазировщика 2 разряда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глазировщика 2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глазировщика 2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Характеристика работ</w:t>
      </w:r>
      <w:r>
        <w:rPr>
          <w:rFonts w:hAnsi="Times New Roman" w:cs="Times New Roman"/>
          <w:color w:val="000000"/>
          <w:sz w:val="24"/>
          <w:szCs w:val="24"/>
        </w:rPr>
        <w:t>. Глазирование кондитерских изделий вручную с нанесением установленного рисунка. Подогревание до установленной температуры и размешивание глазури, придание ей необходимой консистенции, добавление в помадную глазурь эссенции и краски. Загрузка глазированных изделий в холодильный шкаф. Подача охлажденных изделий к весам или на последующую операцию. Транспортировка корпусов изделий вручную на полотно глазирующей машины, отбраковка нестандартных корпусов.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основы технологии глазирования кондитерских изделий вручную с нанесением рисунка; требования, предъявляемые к качеству глазури и корпусов глазированных кондитерских изделий; способы приготовления глазури, ее состав.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глазировщика 2 разряда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глазировщик 2 разряда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глазировщика 2 разряда;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6123daafe1e478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