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колориста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колориста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колориста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колориста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колориста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колориста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колориста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Составление печатных красок для печатания тиража в соответствии с цветовым тоном эталона, подготовка красок в соответствии с печатно-техническими свойствами в зависимости от свойств тиражной бумаги, характера воспроизводимой продукции, условий печатания тиража. Выбор исходных красок из имеющегося ассортимента красок и определение количественного соотношения их для получения требуемого цвета. Корректирование цветового тона. Изготовление оттисков составленных красок.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состав печатных красок; назначение и свойства их компонентов; технологические режимы изготовления красок для всех видов печати; технические требования, предъявляемые к краскам; технологические особенности печатного процесса всех способов печати; требования, предъявляемые к вспомогательным веществам; понятие о денситометрических нормах печатания; правила пользования денситометром, атласом цветов системы смешения и красочной системой.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колориста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колористов.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колорист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колориста;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использовании СИЗОД;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составлении печатных красок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колориста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N 832н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проведении полиграфических работ".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5582febf0142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