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пожарной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пожарной машины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пожарной машины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пожарной машины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пожарной машины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пожарной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водителя пожарной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Управление пожарными автомобилями, а также грузовыми автомобилями (автопоездами) всех типов грузоподъемностью свыше 40 тонн (автопоездов - по суммарной грузоподъемности автомобиля и прицепа).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влияние отдельных эксплуатационных показателей работы автомобилей на себестоимость перевозок; способы обеспечения высокопроизводительного и экономичного использования автомобилей; основные технико-эксплуатационные качества обслуживаемых автомобилей и их влияние на безопасность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пожарной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пожарной машины.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пожарной машины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пожарной машины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пожарной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техобслуживания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замене колеса в полевых условиях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пожарной машины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подразделениях пожарной охраны".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916fa3ee5fc46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