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врача-рентгенолога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врача-рентгенолога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врача-рентгенолога</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врача-рентгенолога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врача-рентгенолога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врача-рентгенолога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врача-рентгенолога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Должностные обязанности. </w:t>
      </w:r>
      <w:r>
        <w:rPr>
          <w:rFonts w:hAnsi="Times New Roman" w:cs="Times New Roman"/>
          <w:color w:val="000000"/>
          <w:sz w:val="24"/>
          <w:szCs w:val="24"/>
        </w:rPr>
        <w:t xml:space="preserve"> Осуществляет диагностику заболеваний и повреждений на основе комплексного применения современных методов лучевой диагностики, в том числе традиционного рентгеновского исследования (рентгенодиагностики), рентгеновской компьютерной томографии и магнитно-резонансной томографии. Проводит лучевые исследования в соответствии со стандартом медицинской помощи. Оформляет протоколы проведенных лучевых исследований с заключением о предполагаемом диагнозе, необходимом комплексе уточняющих лучевых и других инструментальных исследований не позднее 24 часов после проведения исследования. Консультирует лечащих врачей по вопросам обоснованного и рационального выбора лучевых исследований, по результатам проведенных лучевых исследований, участвует в консилиумах, клинических разборах, клинико-диагностических конференциях. Систематически повышает свою квалификацию, внедряет новые методики лучевых исследований, постоянно анализирует результаты своей профессиональной деятельности, используя все доступные возможности для верификации полученной диагностической информации. Руководит работой подчиненного ему медицинского персонала, осуществляет меры по повышению его квалификации, контролирует соблюдение персоналом правил внутреннего распорядка, охраны труда, техники безопасности и радиационной безопасности. Контролирует ведение текущей учетной и отчетной документации по установленным формам. Обеспечивает безопасность пациентов при проведении лучевых исследований, предоставляет пациентам в установленном порядке информацию о радиационном и другом воздействии вследствие предлагаемого или проведенного лучевого исследования. Оказывает первую медицинскую помощь при электрической и механической травме, реакции на введение контрастных веществ и других неотложных состояниях, возникающих при проведении лучевых исследований.</w:t>
      </w:r>
    </w:p>
    <w:p>
      <w:pPr>
        <w:spacing w:line="240" w:lineRule="auto"/>
        <w:rPr>
          <w:rFonts w:hAnsi="Times New Roman" w:cs="Times New Roman"/>
          <w:color w:val="000000"/>
          <w:sz w:val="24"/>
          <w:szCs w:val="24"/>
        </w:rPr>
      </w:pPr>
      <w:r>
        <w:rPr>
          <w:rFonts w:hAnsi="Times New Roman" w:cs="Times New Roman"/>
          <w:b/>
          <w:bCs/>
          <w:color w:val="000000"/>
          <w:sz w:val="24"/>
          <w:szCs w:val="24"/>
        </w:rPr>
        <w:t>Должен знать: </w:t>
      </w:r>
      <w:r>
        <w:rPr>
          <w:rFonts w:hAnsi="Times New Roman" w:cs="Times New Roman"/>
          <w:color w:val="000000"/>
          <w:sz w:val="24"/>
          <w:szCs w:val="24"/>
        </w:rPr>
        <w:t>Конституцию Российской Федерации; законы и иные нормативные правовые акты Российской Федерации в сфере здравоохранения; основы организации здравоохранения, медицинской статистики и научной информатики в пределах практического применения методов лучевой диагностики; физические принципы взаимодействия излучений с веществом, основы радиационной биологии и радиационной защиты, клинической дозиметрии, действующие нормы радиационной безопасности персонала и пациентов; физические, технические и технологические основы методов лучевой диагностики, принципы организации и проведения инвазивных процедур под лучевым наведением; принципы получения, анализа, хранения и передачи диагностических изображений, устройство госпитальных и радиологических информационных систем, систем архивирования данных о пациенте; фармакологические и клинические основы применения контрастных веществ в лучевых исследованиях; этиологию, патогенез, патофизиологию и симптоматику болезней, в диагностике которых используются лучевые методы; лучевую анатомию и лучевую физиологию органов и систем человека; лучевую семиотику нарушений развития, повреждений и заболеваний органов и систем человека; принципы дифференциальной диагностики заболеваний и повреждений органов и тканей при использовании лучевых методов исследования; алгоритмы лучевой диагностики заболеваний и повреждений; основы организации и проведения лучевых методов скрининга (доклинической диагностики) социально значимых заболеваний; принципы организации неотложной лучевой диагностики, включая основы военно-полевой лучевой диагностики; приказы и другие нормативные акты Российской Федерации, определяющие деятельность службы лучевой диагностики и отдельных ее структурных подразделений; основы трудового законодательства; правила трудового распорядка; правила по охране труда и пожарной безопасности (в том числе при эксплуатации лучевого медицинского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врача-рентгенолога</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врач-рентгенолог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врача-рентгенолога;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работе на высоте;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работника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17.06.2021 № 406н</w:t>
      </w:r>
      <w:r>
        <w:rPr>
          <w:rFonts w:hAnsi="Times New Roman" w:cs="Times New Roman"/>
          <w:color w:val="000000"/>
          <w:sz w:val="24"/>
          <w:szCs w:val="24"/>
        </w:rPr>
        <w:t xml:space="preserve"> «О форме и Порядке подачи декларации соответствия условий труда государственным нормативным требованиям охраны труда, Порядке формирования и ведения реестра деклараций соответствия условий труда государственным нормативным требованиям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650н</w:t>
      </w:r>
      <w:r>
        <w:rPr>
          <w:rFonts w:hAnsi="Times New Roman" w:cs="Times New Roman"/>
          <w:color w:val="000000"/>
          <w:sz w:val="24"/>
          <w:szCs w:val="24"/>
        </w:rPr>
        <w:t xml:space="preserve"> «Об утверждении примерного положения о комитете (комиссии) по охране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771н</w:t>
      </w:r>
      <w:r>
        <w:rPr>
          <w:rFonts w:hAnsi="Times New Roman" w:cs="Times New Roman"/>
          <w:color w:val="000000"/>
          <w:sz w:val="24"/>
          <w:szCs w:val="24"/>
        </w:rPr>
        <w:t xml:space="preserve"> «Об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656н</w:t>
      </w:r>
      <w:r>
        <w:rPr>
          <w:rFonts w:hAnsi="Times New Roman" w:cs="Times New Roman"/>
          <w:color w:val="000000"/>
          <w:sz w:val="24"/>
          <w:szCs w:val="24"/>
        </w:rPr>
        <w:t xml:space="preserve"> «Об утверждении примерного перечня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773н</w:t>
      </w:r>
      <w:r>
        <w:rPr>
          <w:rFonts w:hAnsi="Times New Roman" w:cs="Times New Roman"/>
          <w:color w:val="000000"/>
          <w:sz w:val="24"/>
          <w:szCs w:val="24"/>
        </w:rPr>
        <w:t xml:space="preserve"> «Об утверждении форм (способов) информирования работников об их трудовых правах, включая право на безопасные условия и охрану труда, и примерного перечня информационных материалов в целях информирования работников об их трудовых правах, включая право на безопасные условия и охрану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775н</w:t>
      </w:r>
      <w:r>
        <w:rPr>
          <w:rFonts w:hAnsi="Times New Roman" w:cs="Times New Roman"/>
          <w:color w:val="000000"/>
          <w:sz w:val="24"/>
          <w:szCs w:val="24"/>
        </w:rPr>
        <w:t xml:space="preserve"> «Об утверждении Порядка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28.10.2021 № 765н</w:t>
      </w:r>
      <w:r>
        <w:rPr>
          <w:rFonts w:hAnsi="Times New Roman" w:cs="Times New Roman"/>
          <w:color w:val="000000"/>
          <w:sz w:val="24"/>
          <w:szCs w:val="24"/>
        </w:rPr>
        <w:t xml:space="preserve"> «Об утверждении типовых форм документов, необходимых для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20.05.2022 № 342н</w:t>
      </w:r>
      <w:r>
        <w:rPr>
          <w:rFonts w:hAnsi="Times New Roman" w:cs="Times New Roman"/>
          <w:color w:val="000000"/>
          <w:sz w:val="24"/>
          <w:szCs w:val="24"/>
        </w:rPr>
        <w:t xml:space="preserve"> «Об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Минтруда России от 11.07.2024 № 347н</w:t>
      </w:r>
      <w:r>
        <w:rPr>
          <w:rFonts w:hAnsi="Times New Roman" w:cs="Times New Roman"/>
          <w:color w:val="000000"/>
          <w:sz w:val="24"/>
          <w:szCs w:val="24"/>
        </w:rPr>
        <w:t xml:space="preserve"> «Об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санаторно-курортного лечения работников, занятых на работах с вредными и (или) опасными производственными факторами»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d34f0ecac644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