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инструктажа по охране труда на рабочем месте для оператора котельной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оператора котельной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оператора котельной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оператора котельной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оператора котельной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оператора котельной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оператора котельной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Характеристика работ</w:t>
      </w:r>
      <w:r>
        <w:rPr>
          <w:rFonts w:hAnsi="Times New Roman" w:cs="Times New Roman"/>
          <w:color w:val="000000"/>
          <w:sz w:val="24"/>
          <w:szCs w:val="24"/>
        </w:rPr>
        <w:t>. Обслуживание водогрейных и паровых котлов с суммарной теплопроизводительностью свыше 12,6 до 42 ГДж/ч (свыше 3 до 10 Гкал/ч) или обслуживание в котельной отдельных водогрейных или паровых котлов с теплопроизводительностью котла свыше 21 до 84 ГДж/ч (свыше 5 до 20 Гкал/ч), работающих на жидком и газообразном топливе или электронагреве. Обслуживание теплосетевых бойлерных установок или станций мятого пара, расположенных в зоне обслуживания основных агрегатов, с суммарной тепловой нагрузкой свыше 42 до 84 ГДж/ч (свыше 10 до 20 Гкал/ч). Пуск, остановка, регулирование и наблюдение за работой экономайзеров, воздухоподогревателей, пароперегревателей и питательных насосов. Обеспечение бесперебойной работы оборудования котельной. Пуск, остановка и переключение обслуживаемых агрегатов в схемах теплопроводов. Учет теплоты, отпускаемой потребителям. Участие в ремонте обслуживаемого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Должен знать:</w:t>
      </w:r>
      <w:r>
        <w:rPr>
          <w:rFonts w:hAnsi="Times New Roman" w:cs="Times New Roman"/>
          <w:color w:val="000000"/>
          <w:sz w:val="24"/>
          <w:szCs w:val="24"/>
        </w:rPr>
        <w:t xml:space="preserve"> устройство обслуживаемых котлов; устройство и принцип работы центробежных и поршневых насосов, электродвигателей и паровых двигателей; схемы тепло-, паро- и водопроводов котельной установки и наружных теплосетей; порядок учета результатов работы оборудования и отпускаемой потребителям теплоты; устройство простых и средней сложности контрольно-измерительных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оператора котельной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оператор котельной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оператора котельной;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работника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</w:t>
      </w: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 </w:t>
      </w: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7.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8.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9. </w:t>
      </w: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10.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17.06.2021 № 406н</w:t>
      </w:r>
      <w:r>
        <w:rPr>
          <w:rFonts w:hAnsi="Times New Roman" w:cs="Times New Roman"/>
          <w:color w:val="000000"/>
          <w:sz w:val="24"/>
          <w:szCs w:val="24"/>
        </w:rPr>
        <w:t xml:space="preserve"> «О форме и Порядке подачи декларации соответствия условий труда государственным нормативным требованиям охраны труда, Порядке формирования и ведения реестра деклараций соответствия условий труда государственным нормативным требованиям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12.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14.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комитете (комиссии) по охране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15.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771н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ежегодно реализуемых работодателем мероприятий по улучшению условий и охраны труда, ликвидации или снижению уровней профессиональных рисков либо недопущению повышения их уровней».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16.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мероприятий по предотвращению случаев повреждения здоровья работников (при производстве работ (оказании услуг) на территории, находящейся под контролем другого работодателя (иного лица)».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17.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форм (способов) информирования работников об их трудовых правах, включая право на безопасные условия и охрану труда, и примерного перечня информационных материалов в целях информирования работников об их трудовых правах, включая право на безопасные условия и охрану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18.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19.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проведения государственной экспертизы условий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20.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28.10.2021 № 765н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типовых форм документов, необходимых для проведения государственной экспертизы условий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21.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20.05.2022 № 342н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22.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14.07.2021 № 467н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финансового обеспечения предупредительных мер по сокращению производственного травматизма и профессиональных заболеваний работников и санаторно-курортного лечения работников, занятых на работах с вредными и (или) опасными производственными факторами».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478502ca11b498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