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администратора гостиницы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администратора гостиницы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администратора гостиницы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администратора гостиницы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администратора гостиницы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администратора гостиницы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администратора гостиницы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бронирование номеров;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встреча посетителей;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регистрация, размещение и выписка клиентов;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взаиморасчеты сторон;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составление отчетной документации;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консультирование при личном обращении и по телефону об услугах отеля и о возможности ими воспользоваться;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качества обслуживания клиентов;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над клиентами в области соблюдения ими правил проживания в номерах;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координирование деятельности персонала;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решение конфликтных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администратора гостиницы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администратор гостиницы применяет на рабочем месте при выполнении работ: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администратора гостиницы;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на высоте;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работника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17.06.2021 № 406н</w:t>
      </w:r>
      <w:r>
        <w:rPr>
          <w:rFonts w:hAnsi="Times New Roman" w:cs="Times New Roman"/>
          <w:color w:val="000000"/>
          <w:sz w:val="24"/>
          <w:szCs w:val="24"/>
        </w:rPr>
        <w:t xml:space="preserve"> «О форме и Порядке подачи декларации соответствия условий труда государственным нормативным требованиям охраны труда, Порядке формирования и ведения реестра деклараций соответствия условий труда государственным нормативным требованиям охраны труда».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комитете (комиссии) по охране труда».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771н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ежегодно реализуемых работодателем мероприятий по улучшению условий и охраны труда, ликвидации или снижению уровней профессиональных рисков либо недопущению повышения их уровней».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мероприятий по предотвращению случаев повреждения здоровья работников (при производстве работ (оказании услуг) на территории, находящейся под контролем другого работодателя (иного лица)».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форм (способов) информирования работников об их трудовых правах, включая право на безопасные условия и охрану труда, и примерного перечня информационных материалов в целях информирования работников об их трудовых правах, включая право на безопасные условия и охрану труда».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проведения государственной экспертизы условий труда».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28.10.2021 № 765н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типовых форм документов, необходимых для проведения государственной экспертизы условий труда».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20.05.2022 № 342н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11.07.2024 № 347н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финансового обеспечения предупредительных мер по сокращению производственного травматизма и профессиональных заболеваний работников и санаторно-курортного лечения работников, занятых на работах с вредными и (или) опасными производственными факторами»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7cef4d5ebf941a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