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</w:t>
      </w:r>
      <w:r>
        <w:rPr>
          <w:rFonts w:hAnsi="Times New Roman" w:cs="Times New Roman"/>
          <w:color w:val="000000"/>
          <w:sz w:val="24"/>
          <w:szCs w:val="24"/>
        </w:rPr>
        <w:t>аппаратчика пастеризации и охлаждения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пастеризации и охлаждения молока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пастеризации и охлаждения молока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пастеризации и охлаждения молока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пастеризации и охлаждения молока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пастеризации и охлаждения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пастеризации и охлаждения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пастеризации и охлаждения пищевых продуктов на комплексно-механизированной линии или пастеризационно-охладительной линии с автоматическим регулированием температурного режима. Регулирование режимов пастеризации и охлаждения пищевых продуктов. Нормализация молока или других продуктов в потоке на сепараторе-нормализаторе. Гомогенизация молока или других продуктов в соответствии с установленным режимом, регулирование требуемого давления в гомогенизаторе по манометру. Транспортировка охлажденного продукта по производственному назначению. Прием закваски различных видов из заквасочного отделения и составление смесей, купажей и молочных напитков в соответствии с рецептурами. Устранение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принцип действия и правила эксплуатации обслуживаемого оборудования; состав и физико-химические свойства пастеризуемых продуктов; технологические режимы пастеризации и охлаждения пищевых продуктов; состав и назначение моющих растворов; правила заполнения термограммы.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пастеризации и охлаждения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пастеризации и охлаждения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пастеризации и охлаждения молока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пастеризации и охлаждения молока;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пастеризации и охлаждения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пастеризации и охлаждения молока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5c1c76062a45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