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предрейсового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предрейсового</w:t>
      </w:r>
      <w:r>
        <w:rPr>
          <w:rFonts w:hAnsi="Times New Roman" w:cs="Times New Roman"/>
          <w:color w:val="000000"/>
          <w:sz w:val="24"/>
          <w:szCs w:val="24"/>
        </w:rPr>
        <w:t xml:space="preserve">инструктажа по безопасности движения составлена с учетом требований Федерального закона от 30.12.2001 № 197-ФЗ «Трудовой кодекс Российской Федерации»,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10.12.1995 № 196-ФЗ</w:t>
      </w:r>
      <w:r>
        <w:rPr>
          <w:rFonts w:hAnsi="Times New Roman" w:cs="Times New Roman"/>
          <w:color w:val="000000"/>
          <w:sz w:val="24"/>
          <w:szCs w:val="24"/>
        </w:rPr>
        <w:t xml:space="preserve"> «О безопасности дорожного движения», приказа Минтранса от 30.04.2021 № 145 «Об утверждении Правил обеспечения безопасности перевозок автомобильным транспортом и городским наземным электрическим транспортом», Правил по охране труда на автомобильном транспорте,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Предрейсовые</w:t>
      </w:r>
      <w:r>
        <w:rPr>
          <w:rFonts w:hAnsi="Times New Roman" w:cs="Times New Roman"/>
          <w:color w:val="000000"/>
          <w:sz w:val="24"/>
          <w:szCs w:val="24"/>
        </w:rPr>
        <w:t>инструктажи водителям ТС проводят перед отправлением водителя в рейс (за исключением второго и последующего рейсов по одному и тому же маршруту).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предрейсового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 содержание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Протяженность маршрута, дорожные условия, наличие опасных участков и мест концентрации ДТП, особенности организации дорожного движения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Погодные условия движения на маршруте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Конечные, промежуточные пункты маршрута, места отдыха, приема пищи, смены водителей (при необходимости), парковки (парковочные места) транспортных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Расположение на маршруте пунктов медицинской и технической помощи, постов Госавтоинспекции МВД, автовокзалов и автостанций (при расположении остановочных пунктов маршрута на территории автовокзалов или автостанций)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Безопасность движения в период проведения культурно-массовых и спортивных мероприятий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часов по программе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945d50640c42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