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5C"/>
          <w:sz w:val="52"/>
          <w:szCs w:val="52"/>
        </w:rPr>
        <w:t xml:space="preserve">DADE BEVS, WINES AND SPIRITS</w:t>
      </w:r>
    </w:p>
    <w:p>
      <w:pPr>
        <w:pBdr>
          <w:bottom w:val="single" w:color="1A6B5A" w:sz="6" w:space="6"/>
        </w:pBdr>
        <w:spacing w:after="80" w:before="0"/>
        <w:jc w:val="center"/>
      </w:pPr>
      <w:r>
        <w:rPr>
          <w:rFonts w:ascii="Arial" w:cs="Arial" w:eastAsia="Arial" w:hAnsi="Arial"/>
          <w:i/>
          <w:iCs/>
          <w:color w:val="1A6B5A"/>
          <w:sz w:val="26"/>
          <w:szCs w:val="26"/>
        </w:rPr>
        <w:t xml:space="preserve">SCM Analytics Database — Business Requirements Document</w:t>
      </w:r>
    </w:p>
    <w:p>
      <w:r>
        <w:t xml:space="preserve"/>
      </w:r>
    </w:p>
    <w:p>
      <w:pPr>
        <w:jc w:val="center"/>
      </w:pPr>
      <w:r>
        <w:rPr>
          <w:rFonts w:ascii="Arial" w:cs="Arial" w:eastAsia="Arial" w:hAnsi="Arial"/>
          <w:color w:val="6B7A8D"/>
          <w:sz w:val="20"/>
          <w:szCs w:val="20"/>
        </w:rPr>
        <w:t xml:space="preserve">Supply Chain Analytics  ·  MySQL  ·  12 Tables  ·  14 KPI Queries  ·  Tableau-Ready</w:t>
      </w:r>
    </w:p>
    <w:p>
      <w:r>
        <w:t xml:space="preserve"/>
      </w:r>
    </w:p>
    <w:p>
      <w:r>
        <w:t xml:space="preserve"/>
      </w:r>
    </w:p>
    <w:p>
      <w:pPr>
        <w:pStyle w:val="Heading1"/>
        <w:pBdr>
          <w:bottom w:val="single" w:color="1A6B5A" w:sz="4" w:space="6"/>
        </w:pBdr>
        <w:spacing w:after="120" w:before="360"/>
      </w:pPr>
      <w:r>
        <w:rPr>
          <w:rFonts w:ascii="Arial" w:cs="Arial" w:eastAsia="Arial" w:hAnsi="Arial"/>
          <w:b/>
          <w:bCs/>
          <w:color w:val="1B3A5C"/>
          <w:sz w:val="28"/>
          <w:szCs w:val="28"/>
        </w:rPr>
        <w:t xml:space="preserve">1. Company Overview &amp; Mission Statement</w:t>
      </w:r>
    </w:p>
    <w:p>
      <w:pPr>
        <w:spacing w:after="60" w:before="60" w:line="276"/>
      </w:pPr>
      <w:r>
        <w:rPr>
          <w:rFonts w:ascii="Arial" w:cs="Arial" w:eastAsia="Arial" w:hAnsi="Arial"/>
          <w:color w:val="1A1A1A"/>
          <w:sz w:val="22"/>
          <w:szCs w:val="22"/>
        </w:rPr>
        <w:t xml:space="preserve">Dade Bevs, Wines and Spirits is a regional wholesale distributor of wine, beer, and spirits serving the Southeast United States. Operating four distribution centers across Florida and Georgia, DBWS serves over 500 accounts including restaurants, retail chains, hotels, and bars. The company manages relationships with 6 major suppliers and distributes a catalog of 200+ active SKUs.</w:t>
      </w:r>
    </w:p>
    <w:p>
      <w:r>
        <w:t xml:space="preserve"/>
      </w:r>
    </w:p>
    <w:p>
      <w:pPr>
        <w:pBdr>
          <w:top w:val="single" w:color="1A6B5A" w:sz="2"/>
          <w:bottom w:val="single" w:color="1A6B5A" w:sz="2"/>
          <w:left w:val="single" w:color="1B3A5C" w:sz="12"/>
          <w:right w:val="none" w:color="FFFFFF" w:sz="0"/>
        </w:pBdr>
        <w:spacing w:after="120" w:before="120"/>
        <w:ind w:left="360"/>
      </w:pPr>
      <w:r>
        <w:rPr>
          <w:rFonts w:ascii="Arial" w:cs="Arial" w:eastAsia="Arial" w:hAnsi="Arial"/>
          <w:i/>
          <w:iCs/>
          <w:color w:val="1B3A5C"/>
          <w:sz w:val="22"/>
          <w:szCs w:val="22"/>
        </w:rPr>
        <w:t xml:space="preserve">Dade Bevs, Wines and Spirits is committed to delivering the right product, to the right customer, at the right time — every time. Our supply chain analytics platform exists to give every stakeholder in the organization access to timely, accurate, and actionable data that drives smarter decisions across inventory, forecasting, procurement, and logistics.</w:t>
      </w:r>
    </w:p>
    <w:p>
      <w:r>
        <w:t xml:space="preserve"/>
      </w:r>
    </w:p>
    <w:p>
      <w:pPr>
        <w:pStyle w:val="Heading1"/>
        <w:pBdr>
          <w:bottom w:val="single" w:color="1A6B5A" w:sz="4" w:space="6"/>
        </w:pBdr>
        <w:spacing w:after="120" w:before="360"/>
      </w:pPr>
      <w:r>
        <w:rPr>
          <w:rFonts w:ascii="Arial" w:cs="Arial" w:eastAsia="Arial" w:hAnsi="Arial"/>
          <w:b/>
          <w:bCs/>
          <w:color w:val="1B3A5C"/>
          <w:sz w:val="28"/>
          <w:szCs w:val="28"/>
        </w:rPr>
        <w:t xml:space="preserve">2. Business Rules</w:t>
      </w:r>
    </w:p>
    <w:p>
      <w:pPr>
        <w:pStyle w:val="Heading2"/>
        <w:spacing w:after="80" w:before="240"/>
      </w:pPr>
      <w:r>
        <w:rPr>
          <w:rFonts w:ascii="Arial" w:cs="Arial" w:eastAsia="Arial" w:hAnsi="Arial"/>
          <w:b/>
          <w:bCs/>
          <w:color w:val="1A6B5A"/>
          <w:sz w:val="24"/>
          <w:szCs w:val="24"/>
        </w:rPr>
        <w:t xml:space="preserve">2.1 Inventory Management</w:t>
      </w:r>
    </w:p>
    <w:p>
      <w:pPr>
        <w:pStyle w:val="ListParagraph"/>
        <w:numPr>
          <w:ilvl w:val="0"/>
          <w:numId w:val="2"/>
        </w:numPr>
        <w:spacing w:after="40" w:before="40"/>
      </w:pPr>
      <w:r>
        <w:rPr>
          <w:rFonts w:ascii="Arial" w:cs="Arial" w:eastAsia="Arial" w:hAnsi="Arial"/>
          <w:color w:val="1A1A1A"/>
          <w:sz w:val="22"/>
          <w:szCs w:val="22"/>
        </w:rPr>
        <w:t xml:space="preserve">Each SKU is tracked at the warehouse level with individual reorder points and safety stock thresholds.</w:t>
      </w:r>
    </w:p>
    <w:p>
      <w:pPr>
        <w:pStyle w:val="ListParagraph"/>
        <w:numPr>
          <w:ilvl w:val="0"/>
          <w:numId w:val="2"/>
        </w:numPr>
        <w:spacing w:after="40" w:before="40"/>
      </w:pPr>
      <w:r>
        <w:rPr>
          <w:rFonts w:ascii="Arial" w:cs="Arial" w:eastAsia="Arial" w:hAnsi="Arial"/>
          <w:color w:val="1A1A1A"/>
          <w:sz w:val="22"/>
          <w:szCs w:val="22"/>
        </w:rPr>
        <w:t xml:space="preserve">Inventory status is automatically classified as Critical, Reorder Now, Healthy, or Overstocked based on qty_on_hand relative to safety_stock, reorder_point, and max_stock_level.</w:t>
      </w:r>
    </w:p>
    <w:p>
      <w:pPr>
        <w:pStyle w:val="ListParagraph"/>
        <w:numPr>
          <w:ilvl w:val="0"/>
          <w:numId w:val="2"/>
        </w:numPr>
        <w:spacing w:after="40" w:before="40"/>
      </w:pPr>
      <w:r>
        <w:rPr>
          <w:rFonts w:ascii="Arial" w:cs="Arial" w:eastAsia="Arial" w:hAnsi="Arial"/>
          <w:color w:val="1A1A1A"/>
          <w:sz w:val="22"/>
          <w:szCs w:val="22"/>
        </w:rPr>
        <w:t xml:space="preserve">Available quantity = qty_on_hand minus qty_allocated (committed to open orders).</w:t>
      </w:r>
    </w:p>
    <w:p>
      <w:pPr>
        <w:pStyle w:val="ListParagraph"/>
        <w:numPr>
          <w:ilvl w:val="0"/>
          <w:numId w:val="2"/>
        </w:numPr>
        <w:spacing w:after="40" w:before="40"/>
      </w:pPr>
      <w:r>
        <w:rPr>
          <w:rFonts w:ascii="Arial" w:cs="Arial" w:eastAsia="Arial" w:hAnsi="Arial"/>
          <w:color w:val="1A1A1A"/>
          <w:sz w:val="22"/>
          <w:szCs w:val="22"/>
        </w:rPr>
        <w:t xml:space="preserve">Inventory value is calculated as qty_on_hand × unit_cost per SKU per warehouse.</w:t>
      </w:r>
    </w:p>
    <w:p>
      <w:r>
        <w:t xml:space="preserve"/>
      </w:r>
    </w:p>
    <w:p>
      <w:pPr>
        <w:pStyle w:val="Heading2"/>
        <w:spacing w:after="80" w:before="240"/>
      </w:pPr>
      <w:r>
        <w:rPr>
          <w:rFonts w:ascii="Arial" w:cs="Arial" w:eastAsia="Arial" w:hAnsi="Arial"/>
          <w:b/>
          <w:bCs/>
          <w:color w:val="1A6B5A"/>
          <w:sz w:val="24"/>
          <w:szCs w:val="24"/>
        </w:rPr>
        <w:t xml:space="preserve">2.2 Replenishment Planning</w:t>
      </w:r>
    </w:p>
    <w:p>
      <w:pPr>
        <w:pStyle w:val="ListParagraph"/>
        <w:numPr>
          <w:ilvl w:val="0"/>
          <w:numId w:val="2"/>
        </w:numPr>
        <w:spacing w:after="40" w:before="40"/>
      </w:pPr>
      <w:r>
        <w:rPr>
          <w:rFonts w:ascii="Arial" w:cs="Arial" w:eastAsia="Arial" w:hAnsi="Arial"/>
          <w:color w:val="1A1A1A"/>
          <w:sz w:val="22"/>
          <w:szCs w:val="22"/>
        </w:rPr>
        <w:t xml:space="preserve">A reorder alert is triggered when (qty_on_hand + qty_on_order) falls at or below the reorder_point.</w:t>
      </w:r>
    </w:p>
    <w:p>
      <w:pPr>
        <w:pStyle w:val="ListParagraph"/>
        <w:numPr>
          <w:ilvl w:val="0"/>
          <w:numId w:val="2"/>
        </w:numPr>
        <w:spacing w:after="40" w:before="40"/>
      </w:pPr>
      <w:r>
        <w:rPr>
          <w:rFonts w:ascii="Arial" w:cs="Arial" w:eastAsia="Arial" w:hAnsi="Arial"/>
          <w:color w:val="1A1A1A"/>
          <w:sz w:val="22"/>
          <w:szCs w:val="22"/>
        </w:rPr>
        <w:t xml:space="preserve">Recommended order quantity is calculated as max_stock_level minus total supply (on_hand + on_order).</w:t>
      </w:r>
    </w:p>
    <w:p>
      <w:pPr>
        <w:pStyle w:val="ListParagraph"/>
        <w:numPr>
          <w:ilvl w:val="0"/>
          <w:numId w:val="2"/>
        </w:numPr>
        <w:spacing w:after="40" w:before="40"/>
      </w:pPr>
      <w:r>
        <w:rPr>
          <w:rFonts w:ascii="Arial" w:cs="Arial" w:eastAsia="Arial" w:hAnsi="Arial"/>
          <w:color w:val="1A1A1A"/>
          <w:sz w:val="22"/>
          <w:szCs w:val="22"/>
        </w:rPr>
        <w:t xml:space="preserve">Lead time from each supplier is factored into replenishment urgency classification.</w:t>
      </w:r>
    </w:p>
    <w:p>
      <w:pPr>
        <w:pStyle w:val="ListParagraph"/>
        <w:numPr>
          <w:ilvl w:val="0"/>
          <w:numId w:val="2"/>
        </w:numPr>
        <w:spacing w:after="40" w:before="40"/>
      </w:pPr>
      <w:r>
        <w:rPr>
          <w:rFonts w:ascii="Arial" w:cs="Arial" w:eastAsia="Arial" w:hAnsi="Arial"/>
          <w:color w:val="1A1A1A"/>
          <w:sz w:val="22"/>
          <w:szCs w:val="22"/>
        </w:rPr>
        <w:t xml:space="preserve">Days of Supply (DOS) is calculated as total supply divided by average daily demand over a rolling 90-day window.</w:t>
      </w:r>
    </w:p>
    <w:p>
      <w:r>
        <w:t xml:space="preserve"/>
      </w:r>
    </w:p>
    <w:p>
      <w:pPr>
        <w:pStyle w:val="Heading2"/>
        <w:spacing w:after="80" w:before="240"/>
      </w:pPr>
      <w:r>
        <w:rPr>
          <w:rFonts w:ascii="Arial" w:cs="Arial" w:eastAsia="Arial" w:hAnsi="Arial"/>
          <w:b/>
          <w:bCs/>
          <w:color w:val="1A6B5A"/>
          <w:sz w:val="24"/>
          <w:szCs w:val="24"/>
        </w:rPr>
        <w:t xml:space="preserve">2.3 Demand Forecasting</w:t>
      </w:r>
    </w:p>
    <w:p>
      <w:pPr>
        <w:pStyle w:val="ListParagraph"/>
        <w:numPr>
          <w:ilvl w:val="0"/>
          <w:numId w:val="2"/>
        </w:numPr>
        <w:spacing w:after="40" w:before="40"/>
      </w:pPr>
      <w:r>
        <w:rPr>
          <w:rFonts w:ascii="Arial" w:cs="Arial" w:eastAsia="Arial" w:hAnsi="Arial"/>
          <w:color w:val="1A1A1A"/>
          <w:sz w:val="22"/>
          <w:szCs w:val="22"/>
        </w:rPr>
        <w:t xml:space="preserve">Monthly demand forecasts are maintained per SKU per warehouse using three methods: Moving Average, ML Model, and Manual override.</w:t>
      </w:r>
    </w:p>
    <w:p>
      <w:pPr>
        <w:pStyle w:val="ListParagraph"/>
        <w:numPr>
          <w:ilvl w:val="0"/>
          <w:numId w:val="2"/>
        </w:numPr>
        <w:spacing w:after="40" w:before="40"/>
      </w:pPr>
      <w:r>
        <w:rPr>
          <w:rFonts w:ascii="Arial" w:cs="Arial" w:eastAsia="Arial" w:hAnsi="Arial"/>
          <w:color w:val="1A1A1A"/>
          <w:sz w:val="22"/>
          <w:szCs w:val="22"/>
        </w:rPr>
        <w:t xml:space="preserve">Forecast accuracy is measured using Mean Absolute Percentage Error (MAPE). Targets: ≤10% = Excellent, ≤20% = Acceptable, &gt;20% = Needs Review.</w:t>
      </w:r>
    </w:p>
    <w:p>
      <w:pPr>
        <w:pStyle w:val="ListParagraph"/>
        <w:numPr>
          <w:ilvl w:val="0"/>
          <w:numId w:val="2"/>
        </w:numPr>
        <w:spacing w:after="40" w:before="40"/>
      </w:pPr>
      <w:r>
        <w:rPr>
          <w:rFonts w:ascii="Arial" w:cs="Arial" w:eastAsia="Arial" w:hAnsi="Arial"/>
          <w:color w:val="1A1A1A"/>
          <w:sz w:val="22"/>
          <w:szCs w:val="22"/>
        </w:rPr>
        <w:t xml:space="preserve">Actual cases are recorded at month close and compared against forecasted cases to calculate variance.</w:t>
      </w:r>
    </w:p>
    <w:p>
      <w:pPr>
        <w:pStyle w:val="ListParagraph"/>
        <w:numPr>
          <w:ilvl w:val="0"/>
          <w:numId w:val="2"/>
        </w:numPr>
        <w:spacing w:after="40" w:before="40"/>
      </w:pPr>
      <w:r>
        <w:rPr>
          <w:rFonts w:ascii="Arial" w:cs="Arial" w:eastAsia="Arial" w:hAnsi="Arial"/>
          <w:color w:val="1A1A1A"/>
          <w:sz w:val="22"/>
          <w:szCs w:val="22"/>
        </w:rPr>
        <w:t xml:space="preserve">Forecast method performance is tracked to guide model selection and improvement.</w:t>
      </w:r>
    </w:p>
    <w:p>
      <w:r>
        <w:t xml:space="preserve"/>
      </w:r>
    </w:p>
    <w:p>
      <w:pPr>
        <w:pStyle w:val="Heading2"/>
        <w:spacing w:after="80" w:before="240"/>
      </w:pPr>
      <w:r>
        <w:rPr>
          <w:rFonts w:ascii="Arial" w:cs="Arial" w:eastAsia="Arial" w:hAnsi="Arial"/>
          <w:b/>
          <w:bCs/>
          <w:color w:val="1A6B5A"/>
          <w:sz w:val="24"/>
          <w:szCs w:val="24"/>
        </w:rPr>
        <w:t xml:space="preserve">2.4 Sales Orders</w:t>
      </w:r>
    </w:p>
    <w:p>
      <w:pPr>
        <w:pStyle w:val="ListParagraph"/>
        <w:numPr>
          <w:ilvl w:val="0"/>
          <w:numId w:val="2"/>
        </w:numPr>
        <w:spacing w:after="40" w:before="40"/>
      </w:pPr>
      <w:r>
        <w:rPr>
          <w:rFonts w:ascii="Arial" w:cs="Arial" w:eastAsia="Arial" w:hAnsi="Arial"/>
          <w:color w:val="1A1A1A"/>
          <w:sz w:val="22"/>
          <w:szCs w:val="22"/>
        </w:rPr>
        <w:t xml:space="preserve">Each order is associated with one customer and one fulfillment warehouse.</w:t>
      </w:r>
    </w:p>
    <w:p>
      <w:pPr>
        <w:pStyle w:val="ListParagraph"/>
        <w:numPr>
          <w:ilvl w:val="0"/>
          <w:numId w:val="2"/>
        </w:numPr>
        <w:spacing w:after="40" w:before="40"/>
      </w:pPr>
      <w:r>
        <w:rPr>
          <w:rFonts w:ascii="Arial" w:cs="Arial" w:eastAsia="Arial" w:hAnsi="Arial"/>
          <w:color w:val="1A1A1A"/>
          <w:sz w:val="22"/>
          <w:szCs w:val="22"/>
        </w:rPr>
        <w:t xml:space="preserve">Order fill rate = qty_shipped ÷ qty_ordered. Fill rate below 95% triggers a service level review.</w:t>
      </w:r>
    </w:p>
    <w:p>
      <w:pPr>
        <w:pStyle w:val="ListParagraph"/>
        <w:numPr>
          <w:ilvl w:val="0"/>
          <w:numId w:val="2"/>
        </w:numPr>
        <w:spacing w:after="40" w:before="40"/>
      </w:pPr>
      <w:r>
        <w:rPr>
          <w:rFonts w:ascii="Arial" w:cs="Arial" w:eastAsia="Arial" w:hAnsi="Arial"/>
          <w:color w:val="1A1A1A"/>
          <w:sz w:val="22"/>
          <w:szCs w:val="22"/>
        </w:rPr>
        <w:t xml:space="preserve">Order statuses: Open, Shipped, Cancelled.</w:t>
      </w:r>
    </w:p>
    <w:p>
      <w:pPr>
        <w:pStyle w:val="ListParagraph"/>
        <w:numPr>
          <w:ilvl w:val="0"/>
          <w:numId w:val="2"/>
        </w:numPr>
        <w:spacing w:after="40" w:before="40"/>
      </w:pPr>
      <w:r>
        <w:rPr>
          <w:rFonts w:ascii="Arial" w:cs="Arial" w:eastAsia="Arial" w:hAnsi="Arial"/>
          <w:color w:val="1A1A1A"/>
          <w:sz w:val="22"/>
          <w:szCs w:val="22"/>
        </w:rPr>
        <w:t xml:space="preserve">Revenue is calculated at the line level as qty_shipped × unit_price.</w:t>
      </w:r>
    </w:p>
    <w:p>
      <w:r>
        <w:t xml:space="preserve"/>
      </w:r>
    </w:p>
    <w:p>
      <w:pPr>
        <w:pStyle w:val="Heading2"/>
        <w:spacing w:after="80" w:before="240"/>
      </w:pPr>
      <w:r>
        <w:rPr>
          <w:rFonts w:ascii="Arial" w:cs="Arial" w:eastAsia="Arial" w:hAnsi="Arial"/>
          <w:b/>
          <w:bCs/>
          <w:color w:val="1A6B5A"/>
          <w:sz w:val="24"/>
          <w:szCs w:val="24"/>
        </w:rPr>
        <w:t xml:space="preserve">2.5 Supplier &amp; Procurement</w:t>
      </w:r>
    </w:p>
    <w:p>
      <w:pPr>
        <w:pStyle w:val="ListParagraph"/>
        <w:numPr>
          <w:ilvl w:val="0"/>
          <w:numId w:val="2"/>
        </w:numPr>
        <w:spacing w:after="40" w:before="40"/>
      </w:pPr>
      <w:r>
        <w:rPr>
          <w:rFonts w:ascii="Arial" w:cs="Arial" w:eastAsia="Arial" w:hAnsi="Arial"/>
          <w:color w:val="1A1A1A"/>
          <w:sz w:val="22"/>
          <w:szCs w:val="22"/>
        </w:rPr>
        <w:t xml:space="preserve">Purchase orders are raised per supplier per warehouse when reorder conditions are met.</w:t>
      </w:r>
    </w:p>
    <w:p>
      <w:pPr>
        <w:pStyle w:val="ListParagraph"/>
        <w:numPr>
          <w:ilvl w:val="0"/>
          <w:numId w:val="2"/>
        </w:numPr>
        <w:spacing w:after="40" w:before="40"/>
      </w:pPr>
      <w:r>
        <w:rPr>
          <w:rFonts w:ascii="Arial" w:cs="Arial" w:eastAsia="Arial" w:hAnsi="Arial"/>
          <w:color w:val="1A1A1A"/>
          <w:sz w:val="22"/>
          <w:szCs w:val="22"/>
        </w:rPr>
        <w:t xml:space="preserve">Supplier performance is measured on two KPIs: fill rate (qty_received ÷ qty_ordered) and on-time delivery rate (actual_receipt ≤ expected_receipt).</w:t>
      </w:r>
    </w:p>
    <w:p>
      <w:pPr>
        <w:pStyle w:val="ListParagraph"/>
        <w:numPr>
          <w:ilvl w:val="0"/>
          <w:numId w:val="2"/>
        </w:numPr>
        <w:spacing w:after="40" w:before="40"/>
      </w:pPr>
      <w:r>
        <w:rPr>
          <w:rFonts w:ascii="Arial" w:cs="Arial" w:eastAsia="Arial" w:hAnsi="Arial"/>
          <w:color w:val="1A1A1A"/>
          <w:sz w:val="22"/>
          <w:szCs w:val="22"/>
        </w:rPr>
        <w:t xml:space="preserve">Actual lead time is tracked and compared to the supplier's quoted lead_time_days.</w:t>
      </w:r>
    </w:p>
    <w:p>
      <w:pPr>
        <w:pStyle w:val="ListParagraph"/>
        <w:numPr>
          <w:ilvl w:val="0"/>
          <w:numId w:val="2"/>
        </w:numPr>
        <w:spacing w:after="40" w:before="40"/>
      </w:pPr>
      <w:r>
        <w:rPr>
          <w:rFonts w:ascii="Arial" w:cs="Arial" w:eastAsia="Arial" w:hAnsi="Arial"/>
          <w:color w:val="1A1A1A"/>
          <w:sz w:val="22"/>
          <w:szCs w:val="22"/>
        </w:rPr>
        <w:t xml:space="preserve">Open PO visibility enables inbound supply planning and cash flow forecasting.</w:t>
      </w:r>
    </w:p>
    <w:p>
      <w:r>
        <w:t xml:space="preserve"/>
      </w:r>
    </w:p>
    <w:p>
      <w:pPr>
        <w:pStyle w:val="Heading2"/>
        <w:spacing w:after="80" w:before="240"/>
      </w:pPr>
      <w:r>
        <w:rPr>
          <w:rFonts w:ascii="Arial" w:cs="Arial" w:eastAsia="Arial" w:hAnsi="Arial"/>
          <w:b/>
          <w:bCs/>
          <w:color w:val="1A6B5A"/>
          <w:sz w:val="24"/>
          <w:szCs w:val="24"/>
        </w:rPr>
        <w:t xml:space="preserve">2.6 Logistics &amp; Delivery</w:t>
      </w:r>
    </w:p>
    <w:p>
      <w:pPr>
        <w:pStyle w:val="ListParagraph"/>
        <w:numPr>
          <w:ilvl w:val="0"/>
          <w:numId w:val="2"/>
        </w:numPr>
        <w:spacing w:after="40" w:before="40"/>
      </w:pPr>
      <w:r>
        <w:rPr>
          <w:rFonts w:ascii="Arial" w:cs="Arial" w:eastAsia="Arial" w:hAnsi="Arial"/>
          <w:color w:val="1A1A1A"/>
          <w:sz w:val="22"/>
          <w:szCs w:val="22"/>
        </w:rPr>
        <w:t xml:space="preserve">Each shipped order is assigned to a carrier with a promised delivery date.</w:t>
      </w:r>
    </w:p>
    <w:p>
      <w:pPr>
        <w:pStyle w:val="ListParagraph"/>
        <w:numPr>
          <w:ilvl w:val="0"/>
          <w:numId w:val="2"/>
        </w:numPr>
        <w:spacing w:after="40" w:before="40"/>
      </w:pPr>
      <w:r>
        <w:rPr>
          <w:rFonts w:ascii="Arial" w:cs="Arial" w:eastAsia="Arial" w:hAnsi="Arial"/>
          <w:color w:val="1A1A1A"/>
          <w:sz w:val="22"/>
          <w:szCs w:val="22"/>
        </w:rPr>
        <w:t xml:space="preserve">On-time delivery (OTD) = actual_delivery ≤ promised_date. OTD rate is tracked per carrier.</w:t>
      </w:r>
    </w:p>
    <w:p>
      <w:pPr>
        <w:pStyle w:val="ListParagraph"/>
        <w:numPr>
          <w:ilvl w:val="0"/>
          <w:numId w:val="2"/>
        </w:numPr>
        <w:spacing w:after="40" w:before="40"/>
      </w:pPr>
      <w:r>
        <w:rPr>
          <w:rFonts w:ascii="Arial" w:cs="Arial" w:eastAsia="Arial" w:hAnsi="Arial"/>
          <w:color w:val="1A1A1A"/>
          <w:sz w:val="22"/>
          <w:szCs w:val="22"/>
        </w:rPr>
        <w:t xml:space="preserve">Average days late is calculated for late deliveries to support carrier SLA reviews.</w:t>
      </w:r>
    </w:p>
    <w:p>
      <w:r>
        <w:t xml:space="preserve"/>
      </w:r>
    </w:p>
    <w:p>
      <w:pPr>
        <w:pStyle w:val="Heading2"/>
        <w:spacing w:after="80" w:before="240"/>
      </w:pPr>
      <w:r>
        <w:rPr>
          <w:rFonts w:ascii="Arial" w:cs="Arial" w:eastAsia="Arial" w:hAnsi="Arial"/>
          <w:b/>
          <w:bCs/>
          <w:color w:val="1A6B5A"/>
          <w:sz w:val="24"/>
          <w:szCs w:val="24"/>
        </w:rPr>
        <w:t xml:space="preserve">2.7 Financial &amp; Margin</w:t>
      </w:r>
    </w:p>
    <w:p>
      <w:pPr>
        <w:pStyle w:val="ListParagraph"/>
        <w:numPr>
          <w:ilvl w:val="0"/>
          <w:numId w:val="2"/>
        </w:numPr>
        <w:spacing w:after="40" w:before="40"/>
      </w:pPr>
      <w:r>
        <w:rPr>
          <w:rFonts w:ascii="Arial" w:cs="Arial" w:eastAsia="Arial" w:hAnsi="Arial"/>
          <w:color w:val="1A1A1A"/>
          <w:sz w:val="22"/>
          <w:szCs w:val="22"/>
        </w:rPr>
        <w:t xml:space="preserve">Gross profit = revenue − COGS (qty_shipped × unit_cost).</w:t>
      </w:r>
    </w:p>
    <w:p>
      <w:pPr>
        <w:pStyle w:val="ListParagraph"/>
        <w:numPr>
          <w:ilvl w:val="0"/>
          <w:numId w:val="2"/>
        </w:numPr>
        <w:spacing w:after="40" w:before="40"/>
      </w:pPr>
      <w:r>
        <w:rPr>
          <w:rFonts w:ascii="Arial" w:cs="Arial" w:eastAsia="Arial" w:hAnsi="Arial"/>
          <w:color w:val="1A1A1A"/>
          <w:sz w:val="22"/>
          <w:szCs w:val="22"/>
        </w:rPr>
        <w:t xml:space="preserve">Margin % = gross_profit ÷ revenue × 100.</w:t>
      </w:r>
    </w:p>
    <w:p>
      <w:pPr>
        <w:pStyle w:val="ListParagraph"/>
        <w:numPr>
          <w:ilvl w:val="0"/>
          <w:numId w:val="2"/>
        </w:numPr>
        <w:spacing w:after="40" w:before="40"/>
      </w:pPr>
      <w:r>
        <w:rPr>
          <w:rFonts w:ascii="Arial" w:cs="Arial" w:eastAsia="Arial" w:hAnsi="Arial"/>
          <w:color w:val="1A1A1A"/>
          <w:sz w:val="22"/>
          <w:szCs w:val="22"/>
        </w:rPr>
        <w:t xml:space="preserve">ABC inventory classification uses cumulative revenue share: A = top 80%, B = 81–95%, C = bottom 5%.</w:t>
      </w:r>
    </w:p>
    <w:p>
      <w:pPr>
        <w:pStyle w:val="ListParagraph"/>
        <w:numPr>
          <w:ilvl w:val="0"/>
          <w:numId w:val="2"/>
        </w:numPr>
        <w:spacing w:after="40" w:before="40"/>
      </w:pPr>
      <w:r>
        <w:rPr>
          <w:rFonts w:ascii="Arial" w:cs="Arial" w:eastAsia="Arial" w:hAnsi="Arial"/>
          <w:color w:val="1A1A1A"/>
          <w:sz w:val="22"/>
          <w:szCs w:val="22"/>
        </w:rPr>
        <w:t xml:space="preserve">Inventory turnover = COGS ÷ average inventory value. Thresholds: ≥4 = Fast Moving, ≥2 = Normal, ≥1 = Slow Moving, &lt;1 = Dead Stock Risk.</w:t>
      </w:r>
    </w:p>
    <w:p>
      <w:r>
        <w:t xml:space="preserve"/>
      </w:r>
    </w:p>
    <w:p>
      <w:pPr>
        <w:pStyle w:val="Heading1"/>
        <w:pBdr>
          <w:bottom w:val="single" w:color="1A6B5A" w:sz="4" w:space="6"/>
        </w:pBdr>
        <w:spacing w:after="120" w:before="360"/>
      </w:pPr>
      <w:r>
        <w:rPr>
          <w:rFonts w:ascii="Arial" w:cs="Arial" w:eastAsia="Arial" w:hAnsi="Arial"/>
          <w:b/>
          <w:bCs/>
          <w:color w:val="1B3A5C"/>
          <w:sz w:val="28"/>
          <w:szCs w:val="28"/>
        </w:rPr>
        <w:t xml:space="preserve">3. Database Schema — 12 Tables</w:t>
      </w:r>
    </w:p>
    <w:p>
      <w:pPr>
        <w:spacing w:after="60" w:before="60" w:line="276"/>
      </w:pPr>
      <w:r>
        <w:rPr>
          <w:rFonts w:ascii="Arial" w:cs="Arial" w:eastAsia="Arial" w:hAnsi="Arial"/>
          <w:color w:val="1A1A1A"/>
          <w:sz w:val="22"/>
          <w:szCs w:val="22"/>
        </w:rPr>
        <w:t xml:space="preserve">The following tables form the DBWS SCM analytics database: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4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Suppliers</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supplier_id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Vendor master with lead times and payment terms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Categories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category_id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Beverage category and subcategory hierarchy</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Products</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product_id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SKU master with cost, price, and pack size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Warehouses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warehouse_id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Distribution centers with regional assignments</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Inventory</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inventory_id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Real-time stock position with reorder logic per SKU/warehouse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customer_id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master with territory and customer type</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Sales_Orders</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order_id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Order header with status, ship dates, and totals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Sales_Order_Lines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line_id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Line-level order detail with qty ordered vs shipped</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Purchase_Orders</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po_id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Replenishment POs with expected and actual receipt dates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PO_Lines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po_line_id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 line detail with qty ordered vs received</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Demand_Forecast</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forecast_id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Monthly forecasts vs actuals by SKU and warehouse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delivery_id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Carrier delivery tracking and on-time performance</w:t>
            </w:r>
          </w:p>
        </w:tc>
      </w:tr>
    </w:tbl>
    <w:p>
      <w:r>
        <w:t xml:space="preserve"/>
      </w:r>
    </w:p>
    <w:p>
      <w:pPr>
        <w:pStyle w:val="Heading1"/>
        <w:pBdr>
          <w:bottom w:val="single" w:color="1A6B5A" w:sz="4" w:space="6"/>
        </w:pBdr>
        <w:spacing w:after="120" w:before="360"/>
      </w:pPr>
      <w:r>
        <w:rPr>
          <w:rFonts w:ascii="Arial" w:cs="Arial" w:eastAsia="Arial" w:hAnsi="Arial"/>
          <w:b/>
          <w:bCs/>
          <w:color w:val="1B3A5C"/>
          <w:sz w:val="28"/>
          <w:szCs w:val="28"/>
        </w:rPr>
        <w:t xml:space="preserve">4. SQL Query Library — 14 Analytical Queries</w:t>
      </w:r>
    </w:p>
    <w:p>
      <w:pPr>
        <w:spacing w:after="60" w:before="60" w:line="276"/>
      </w:pPr>
      <w:r>
        <w:rPr>
          <w:rFonts w:ascii="Arial" w:cs="Arial" w:eastAsia="Arial" w:hAnsi="Arial"/>
          <w:color w:val="1A1A1A"/>
          <w:sz w:val="22"/>
          <w:szCs w:val="22"/>
        </w:rPr>
        <w:t xml:space="preserve">Each query is mapped to a core SCM function and delivers measurable business 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rPr>
          <w:tblHeader/>
        </w:trPr>
        <w:tc>
          <w:tcPr>
            <w:tcW w:type="dxa" w:w="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Query Name</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SCM Function</w:t>
            </w:r>
          </w:p>
        </w:tc>
        <w:tc>
          <w:tcPr>
            <w:tcW w:type="dxa" w:w="4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Inventory Status Dashboard</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Inventory Mgmt</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Stock status, available qty, inventory value</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Reorder Alert Report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Replenishment</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level, recommended order qty, est. PO cost</w:t>
            </w:r>
          </w:p>
        </w:tc>
      </w:tr>
      <w:tr>
        <w:tc>
          <w:tcPr>
            <w:tcW w:type="dxa" w:w="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Forecast Accuracy — MAPE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Demand Planning</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MAPE %, accuracy rating, total variance</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 Performance Scorecard</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Procurement</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Fill rate %, OTD %, avg actual lead days</w:t>
            </w:r>
          </w:p>
        </w:tc>
      </w:tr>
      <w:tr>
        <w:tc>
          <w:tcPr>
            <w:tcW w:type="dxa" w:w="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Revenue &amp; Margin by Category</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Financial KPIs</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Revenue, COGS, gross profit, margin %</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Turnover Rate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 Optimization</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Turnover ratio, velocity class (A/B/C)</w:t>
            </w:r>
          </w:p>
        </w:tc>
      </w:tr>
      <w:tr>
        <w:tc>
          <w:tcPr>
            <w:tcW w:type="dxa" w:w="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On-Time Delivery by Carrier</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Logistics</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OTD rate %, late count, avg days late</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Forecast vs Actual Monthly Trend</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Demand Planning</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Variance cases, variance %, by category</w:t>
            </w:r>
          </w:p>
        </w:tc>
      </w:tr>
      <w:tr>
        <w:tc>
          <w:tcPr>
            <w:tcW w:type="dxa" w:w="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Order Fill Rate by Customer</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Service Level</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Fill rate %, cases unfulfilled, revenue</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Days of Supply by SKU</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Replenishment</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DOS days, avg daily demand, DOS status</w:t>
            </w:r>
          </w:p>
        </w:tc>
      </w:tr>
      <w:tr>
        <w:tc>
          <w:tcPr>
            <w:tcW w:type="dxa" w:w="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Warehouse Inventory Summary</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Working Capital</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Utilization %, inventory value, critical SKUs</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ABC Classification (Pareto)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 Prioritization</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share %, cumulative %, A/B/C tier</w:t>
            </w:r>
          </w:p>
        </w:tc>
      </w:tr>
      <w:tr>
        <w:tc>
          <w:tcPr>
            <w:tcW w:type="dxa" w:w="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Open PO Visibility</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Inbound Planning</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Days until receipt, qty outstanding, open value</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Sales Trend</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KPI Reporting</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cases, margin by region/category/month</w:t>
            </w:r>
          </w:p>
        </w:tc>
      </w:tr>
    </w:tbl>
    <w:p>
      <w:r>
        <w:t xml:space="preserve"/>
      </w:r>
    </w:p>
    <w:p>
      <w:pPr>
        <w:pStyle w:val="Heading1"/>
        <w:pBdr>
          <w:bottom w:val="single" w:color="1A6B5A" w:sz="4" w:space="6"/>
        </w:pBdr>
        <w:spacing w:after="120" w:before="360"/>
      </w:pPr>
      <w:r>
        <w:rPr>
          <w:rFonts w:ascii="Arial" w:cs="Arial" w:eastAsia="Arial" w:hAnsi="Arial"/>
          <w:b/>
          <w:bCs/>
          <w:color w:val="1B3A5C"/>
          <w:sz w:val="28"/>
          <w:szCs w:val="28"/>
        </w:rPr>
        <w:t xml:space="preserve">5. Key Performance Indicators</w:t>
      </w:r>
    </w:p>
    <w:p>
      <w:pPr>
        <w:spacing w:after="60" w:before="60" w:line="276"/>
      </w:pPr>
      <w:r>
        <w:rPr>
          <w:rFonts w:ascii="Arial" w:cs="Arial" w:eastAsia="Arial" w:hAnsi="Arial"/>
          <w:color w:val="1A1A1A"/>
          <w:sz w:val="22"/>
          <w:szCs w:val="22"/>
        </w:rPr>
        <w:t xml:space="preserve">The following KPIs are calculated directly within the SQL query library: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Business Use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MAPE</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AVG(|Actual − Forecast| ÷ Actual) × 100</w:t>
            </w:r>
          </w:p>
        </w:tc>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Forecast model accuracy measurement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Turnover</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COGS ÷ Average Inventory Value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Efficiency of inventory utilization</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Days of Supply</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Total Supply ÷ Avg Daily Demand</w:t>
            </w:r>
          </w:p>
        </w:tc>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Stockout risk and reorder timing</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Fill Rate</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Cases Shipped ÷ Cases Ordered × 100</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fulfillment service level</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On-Time Delivery</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On-Time Deliveries ÷ Total Deliveries × 100</w:t>
            </w:r>
          </w:p>
        </w:tc>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Carrier and supplier reliability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Gross Margin %</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 COGS) ÷ Revenue × 100</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and category profitability</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ABC Classification</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Cumulative Revenue Share</w:t>
            </w:r>
          </w:p>
        </w:tc>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Inventory prioritization by value</w:t>
            </w:r>
          </w:p>
        </w:tc>
      </w:tr>
    </w:tbl>
    <w:p>
      <w:r>
        <w:t xml:space="preserve"/>
      </w:r>
    </w:p>
    <w:p>
      <w:pPr>
        <w:pStyle w:val="Heading1"/>
        <w:pBdr>
          <w:bottom w:val="single" w:color="1A6B5A" w:sz="4" w:space="6"/>
        </w:pBdr>
        <w:spacing w:after="120" w:before="360"/>
      </w:pPr>
      <w:r>
        <w:rPr>
          <w:rFonts w:ascii="Arial" w:cs="Arial" w:eastAsia="Arial" w:hAnsi="Arial"/>
          <w:b/>
          <w:bCs/>
          <w:color w:val="1B3A5C"/>
          <w:sz w:val="28"/>
          <w:szCs w:val="28"/>
        </w:rPr>
        <w:t xml:space="preserve">6. Technologies &amp; Technical Highlights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MySQL</w:t>
            </w:r>
          </w:p>
        </w:tc>
        <w:tc>
          <w:tcPr>
            <w:tcW w:type="dxa" w:w="6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Relational database — schema, constraints, foreign keys, stored procedures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 DDL</w:t>
            </w:r>
          </w:p>
        </w:tc>
        <w:tc>
          <w:tcPr>
            <w:tcW w:type="dxa" w:w="6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TABLE with data types, NOT NULL, UNIQUE, AUTO_INCREMENT, FK constraints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SQL — DML</w:t>
            </w:r>
          </w:p>
        </w:tc>
        <w:tc>
          <w:tcPr>
            <w:tcW w:type="dxa" w:w="6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INSERT statements with realistic multi-table sample data</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 Analytics</w:t>
            </w:r>
          </w:p>
        </w:tc>
        <w:tc>
          <w:tcPr>
            <w:tcW w:type="dxa" w:w="6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queries using JOINs, GROUP BY, CASE, NULLIF, CTEs, window functions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Window Functions</w:t>
            </w:r>
          </w:p>
        </w:tc>
        <w:tc>
          <w:tcPr>
            <w:tcW w:type="dxa" w:w="6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SUM() OVER() for cumulative revenue in ABC Pareto classification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CTEs</w:t>
            </w:r>
          </w:p>
        </w:tc>
        <w:tc>
          <w:tcPr>
            <w:tcW w:type="dxa" w:w="6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 clause for multi-step MAPE and Pareto calculations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Tableau (target)</w:t>
            </w:r>
          </w:p>
        </w:tc>
        <w:tc>
          <w:tcPr>
            <w:tcW w:type="dxa" w:w="6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Query 14 structured as a Tableau-ready data source for dashboard publishing</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6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 control, public portfolio hosting, README documentation</w:t>
            </w:r>
          </w:p>
        </w:tc>
      </w:tr>
    </w:tbl>
    <w:p>
      <w:r>
        <w:t xml:space="preserve"/>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6B7A8D"/>
        <w:sz w:val="18"/>
        <w:szCs w:val="18"/>
      </w:rPr>
      <w:t xml:space="preserve">Confidential — Portfolio Project</w:t>
    </w:r>
    <w:r>
      <w:rPr>
        <w:rFonts w:ascii="Arial" w:cs="Arial" w:eastAsia="Arial" w:hAnsi="Arial"/>
        <w:color w:val="1B3A5C"/>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5A" w:sz="4" w:space="4"/>
      </w:pBdr>
      <w:tabs>
        <w:tab w:val="right" w:pos="9026"/>
      </w:tabs>
    </w:pPr>
    <w:r>
      <w:rPr>
        <w:rFonts w:ascii="Arial" w:cs="Arial" w:eastAsia="Arial" w:hAnsi="Arial"/>
        <w:b/>
        <w:bCs/>
        <w:color w:val="1B3A5C"/>
        <w:sz w:val="18"/>
        <w:szCs w:val="18"/>
      </w:rPr>
      <w:t xml:space="preserve">Dade Bevs, Wines and Spirits</w:t>
    </w:r>
    <w:r>
      <w:rPr>
        <w:rFonts w:ascii="Arial" w:cs="Arial" w:eastAsia="Arial" w:hAnsi="Arial"/>
        <w:color w:val="6B7A8D"/>
        <w:sz w:val="18"/>
        <w:szCs w:val="18"/>
      </w:rPr>
      <w:t xml:space="preserve">	SCM Analytics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2026-05-11T13:23:49.078Z</dcterms:created>
  <dcterms:modified xsi:type="dcterms:W3CDTF">2026-05-11T13:23:49.097Z</dcterms:modified>
</cp:coreProperties>
</file>

<file path=docProps/custom.xml><?xml version="1.0" encoding="utf-8"?>
<Properties xmlns="http://schemas.openxmlformats.org/officeDocument/2006/custom-properties" xmlns:vt="http://schemas.openxmlformats.org/officeDocument/2006/docPropsVTypes"/>
</file>