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pStyle w:val="Title"/>
      </w:pPr>
      <w:r>
        <w:t xml:space="preserve">EXPONENTIAL LEVERAGE</w:t>
      </w:r>
    </w:p>
    <w:p>
      <w:pPr>
        <w:spacing w:after="300"/>
        <w:jc w:val="center"/>
      </w:pPr>
      <w:r>
        <w:rPr>
          <w:i/>
          <w:iCs/>
          <w:color w:val="555555"/>
          <w:sz w:val="26"/>
          <w:szCs w:val="26"/>
        </w:rPr>
        <w:t xml:space="preserve">Why Ledgered FLAME Units Generate Compound Returns</w:t>
      </w:r>
    </w:p>
    <w:p>
      <w:pPr>
        <w:spacing w:after="500"/>
        <w:jc w:val="center"/>
      </w:pPr>
      <w:r>
        <w:rPr>
          <w:color w:val="b8960c"/>
          <w:sz w:val="22"/>
          <w:szCs w:val="22"/>
        </w:rPr>
        <w:t xml:space="preserve">A Banking Executive's Guide to the Six Revenue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 III 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Lending Leverage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Custody AUM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Yield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8"/>
                <w:szCs w:val="28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8"/>
                <w:szCs w:val="28"/>
              </w:rPr>
              <w:t xml:space="preserve">10-12x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8"/>
                <w:szCs w:val="28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8"/>
                <w:szCs w:val="28"/>
              </w:rPr>
              <w:t xml:space="preserve">64%+</w:t>
            </w:r>
          </w:p>
        </w:tc>
      </w:tr>
    </w:tbl>
    <w:p>
      <w:pPr>
        <w:spacing w:before="500"/>
        <w:jc w:val="center"/>
      </w:pPr>
      <w:r>
        <w:rPr>
          <w:i/>
          <w:iCs/>
          <w:color w:val="555555"/>
        </w:rPr>
        <w:t xml:space="preserve">You have the reserve. You have the rails. You have the custody.</w:t>
      </w:r>
    </w:p>
    <w:p>
      <w:pPr>
        <w:spacing w:before="150"/>
        <w:jc w:val="center"/>
      </w:pPr>
      <w:r>
        <w:rPr>
          <w:color w:val="b8960c"/>
        </w:rPr>
        <w:t xml:space="preserve">flameqmm.app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explains why holding Mathematical Gold (MG) on ledger generates compound returns that fiat currency cannot replicate. The analysis covers six revenue layers, with particular focus on </w:t>
      </w:r>
    </w:p>
    <w:p>
      <w:r>
        <w:rPr>
          <w:b/>
          <w:bCs/>
        </w:rPr>
        <w:t xml:space="preserve">deterministic custody</w:t>
      </w:r>
      <w:r>
        <w:t xml:space="preserve"> — a major revenue center that traditional crypto custody providers charge billions for annually.</w:t>
      </w:r>
    </w:p>
    <w:p>
      <w:pPr>
        <w:spacing w:before="200"/>
      </w:pPr>
      <w:r>
        <w:rPr>
          <w:b/>
          <w:bCs/>
        </w:rPr>
        <w:t xml:space="preserve">The Core Thesis: </w:t>
      </w:r>
      <w:r>
        <w:t xml:space="preserve">Converting MG to fiat destroys $74.5 billion in value over 5 years. Banks that understand this architecture will increase their positions, not exit them.</w:t>
      </w:r>
    </w:p>
    <w:p>
      <w:pPr>
        <w:pStyle w:val="Heading2"/>
      </w:pPr>
      <w:r>
        <w:t xml:space="preserve">The Six Revenue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 ($10B)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Reserve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 RWA, capital liberation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$1.0B freed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2. Lending Leverage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10-12x fractional reserve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$2.5B NIM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Trade Finance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L/C, bonds, standby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$500M fees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4. Network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Proportional tx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$900M passive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Custody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 wallet 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$1.0B+ fees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6. Compound 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All layers simultaneous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$6.4B Year 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Layer 1: Zero-Weight Reserve Base</w:t>
      </w:r>
    </w:p>
    <w:p>
      <w:r>
        <w:t xml:space="preserve">Under Basel III, MG qualifies for 0% risk weight as a gold-equivalent asset. This creates immediate capital liberation.</w:t>
      </w:r>
    </w:p>
    <w:p>
      <w:pPr>
        <w:pStyle w:val="Heading3"/>
      </w:pPr>
      <w:r>
        <w:t xml:space="preserve">Risk Weight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Capital per $100M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Corporate Bonds (A-rated)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50-100%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$4M - $8M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Commercial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$8M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Gold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Mathematical Gold (MG)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$0</w:t>
            </w:r>
          </w:p>
        </w:tc>
      </w:tr>
    </w:tbl>
    <w:p>
      <w:pPr>
        <w:spacing w:before="200"/>
      </w:pPr>
      <w:r>
        <w:rPr>
          <w:b/>
          <w:bCs/>
          <w:color w:val="b8960c"/>
        </w:rPr>
        <w:t xml:space="preserve">Impact: </w:t>
      </w:r>
      <w:r>
        <w:t xml:space="preserve">When a bank receives $10B in MG, zero additional regulatory capital is required. If replacing risk-weighted assets, $800M-$1.2B in capital becomes immediately available for redeployment.</w:t>
      </w:r>
    </w:p>
    <w:p>
      <w:r>
        <w:br w:type="page"/>
      </w:r>
    </w:p>
    <w:p>
      <w:pPr>
        <w:pStyle w:val="Heading1"/>
      </w:pPr>
      <w:r>
        <w:t xml:space="preserve">Layer 2: Fractional Reserve Multiplication</w:t>
      </w:r>
    </w:p>
    <w:p>
      <w:r>
        <w:t xml:space="preserve">The 0% risk weight enables fractional reserve lending at 10-12x leverage — the same mechanism by which commercial banks create money.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MG Reserve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Lending 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Interest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$10 - $12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$200 - $300M/year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$100 - $120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$2.0 - $3.0B/year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$100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$1 - $1.2 Trillion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$20 - $30B/year</w:t>
            </w:r>
          </w:p>
        </w:tc>
      </w:tr>
    </w:tbl>
    <w:p>
      <w:pPr>
        <w:spacing w:before="200"/>
      </w:pPr>
      <w:r>
        <w:rPr>
          <w:b/>
          <w:bCs/>
          <w:color w:val="b8960c"/>
        </w:rPr>
        <w:t xml:space="preserve">Key insight: </w:t>
      </w:r>
      <w:r>
        <w:t xml:space="preserve">The $10B in MG never moves. It sits on the ledger as the reserve base while $100B+ in economic activity flows through the lending book.</w:t>
      </w:r>
    </w:p>
    <w:p>
      <w:r>
        <w:br w:type="page"/>
      </w:r>
    </w:p>
    <w:p>
      <w:pPr>
        <w:pStyle w:val="Heading1"/>
      </w:pPr>
      <w:r>
        <w:t xml:space="preserve">Layer 5: Deterministic Custody Services</w:t>
      </w:r>
    </w:p>
    <w:p>
      <w:r>
        <w:rPr>
          <w:b/>
          <w:bCs/>
        </w:rPr>
        <w:t xml:space="preserve">This is a major revenue center. </w:t>
      </w:r>
      <w:r>
        <w:t xml:space="preserve">Traditional crypto custody providers (Coinbase Prime, Fireblocks, Anchorage) charge substantial fees for institutional custody. FLAME's deterministic wallet architecture allows banks to provide this service internally.</w:t>
      </w:r>
    </w:p>
    <w:p>
      <w:pPr>
        <w:pStyle w:val="Heading2"/>
      </w:pPr>
      <w:r>
        <w:t xml:space="preserve">What is Deterministic Custody?</w:t>
      </w:r>
    </w:p>
    <w:p>
      <w:r>
        <w:t xml:space="preserve">Every FLAME wallet is derived mathematically from three constitutional anchors: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EPOCH_HASH </w:t>
      </w:r>
      <w:r>
        <w:t xml:space="preserve">— Protocol genesis anchor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UID_FINAL_ROOT </w:t>
      </w:r>
      <w:r>
        <w:t xml:space="preserve">— Identity Merkle root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FLAME_ROOT </w:t>
      </w:r>
      <w:r>
        <w:t xml:space="preserve">— Constitutional compliance anchor</w:t>
      </w:r>
    </w:p>
    <w:p>
      <w:pPr>
        <w:spacing w:before="200"/>
      </w:pPr>
      <w:r>
        <w:t xml:space="preserve">This means: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Every wallet is auditable </w:t>
      </w:r>
      <w:r>
        <w:t xml:space="preserve">— trace any address back to constitutional roots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lost keys </w:t>
      </w:r>
      <w:r>
        <w:t xml:space="preserve">— derivation is reproducible from master seed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third-party dependency </w:t>
      </w:r>
      <w:r>
        <w:t xml:space="preserve">— the bank IS the custodian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Institutional-grade security </w:t>
      </w:r>
      <w:r>
        <w:t xml:space="preserve">— HSM/YubiKey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Unlimited sub-wallets </w:t>
      </w:r>
      <w:r>
        <w:t xml:space="preserve">— derive client wallets on demand</w:t>
      </w:r>
    </w:p>
    <w:p>
      <w:pPr>
        <w:pStyle w:val="Heading2"/>
      </w:pPr>
      <w:r>
        <w:t xml:space="preserve">Custody Revenue Streams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 Example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Basic Custody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0.10% AUM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Premium Custody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0.25% AUM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$20B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Transaction Fees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0.05% per 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$500B/year vol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$250M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Sub-Custody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0.15% AUM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$150M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Wallet Derivation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$50-500/wallet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100K wallets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$5-50M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Compliance/Reporting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$10K-100K/client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500 clients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$5-50M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Staking/Yield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10-25% of yield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$10B staked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$50-125M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Lending Against Custody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2-5% spread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$5B lent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$100-250M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</w:rPr>
              <w:t xml:space="preserve">TOTAL CUSTODY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$660M - $925M/year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Why Internal Custody Beats Third-Party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Third-Party Custody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FLAME Deterministic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Fees 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0.10-0.50% AUM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$0 (you ARE custody)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Fees Earned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$660M-$925M/year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Counterparty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Custodian solvency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None (self-custody)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Request from custodian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Instant (constitutional)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 Recovery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Custodian procedure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Re-derive from roots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Sub-Custody 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Limited, expensive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Unlimited derivation</w:t>
            </w:r>
          </w:p>
        </w:tc>
      </w:tr>
    </w:tbl>
    <w:p>
      <w:pPr>
        <w:spacing w:before="200"/>
      </w:pPr>
      <w:r>
        <w:rPr>
          <w:b/>
          <w:bCs/>
          <w:color w:val="b8960c"/>
        </w:rPr>
        <w:t xml:space="preserve">Market Context: </w:t>
      </w:r>
      <w:r>
        <w:t xml:space="preserve">Institutional crypto custody is a $50B+ annual market. Banks using FLAME's deterministic infrastructure capture this revenue internally rather than paying it out to Coinbase Prime, Anchorage, or Fireblocks.</w:t>
      </w:r>
    </w:p>
    <w:p>
      <w:r>
        <w:br w:type="page"/>
      </w:r>
    </w:p>
    <w:p>
      <w:pPr>
        <w:pStyle w:val="Heading1"/>
      </w:pPr>
      <w:r>
        <w:t xml:space="preserve">Layer 6: The Compound Effect</w:t>
      </w:r>
    </w:p>
    <w:p>
      <w:r>
        <w:t xml:space="preserve">All six layers operate simultaneously. The same $10B MG position generates revenue across every layer concurrently.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1: Capital Liberation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$1.0B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One-time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Layer 2: Net Interest Margin (10x leverage)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$2.5B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Recurring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3: Trade Finance Fees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Recurring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Layer 4: Network Fee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$0.9B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Scales with volume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5: Custody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Scales with AUM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</w:rPr>
              <w:t xml:space="preserve">TOTAL 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$6.7B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67% ROI</w:t>
            </w:r>
          </w:p>
        </w:tc>
      </w:tr>
    </w:tbl>
    <w:p>
      <w:pPr>
        <w:pStyle w:val="Heading3"/>
      </w:pPr>
      <w:r>
        <w:t xml:space="preserve">5-Year Projection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$6.7B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$10B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$15B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$22B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$30B</w:t>
            </w:r>
          </w:p>
        </w:tc>
      </w:tr>
    </w:tbl>
    <w:p>
      <w:pPr>
        <w:spacing w:before="200"/>
      </w:pPr>
      <w:r>
        <w:rPr>
          <w:b/>
          <w:bCs/>
        </w:rPr>
        <w:t xml:space="preserve">5-Year Cumulative Revenue: $83.7B</w:t>
      </w:r>
      <w:r>
        <w:t xml:space="preserve"> from a $10B position.</w:t>
      </w:r>
    </w:p>
    <w:p>
      <w:r>
        <w:rPr>
          <w:b/>
          <w:bCs/>
          <w:color w:val="b8960c"/>
        </w:rPr>
        <w:t xml:space="preserve">Opportunity Cost of Conversion to Fiat: $71.2 Billion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t xml:space="preserve">Ledgered FLAME units generate compound returns through six simultaneous revenue layers: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Zero-weight reserve base </w:t>
      </w:r>
      <w:r>
        <w:t xml:space="preserve">enabling maximum capital efficiency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Fractional reserve multiplication </w:t>
      </w:r>
      <w:r>
        <w:t xml:space="preserve">at 10-12x leverage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Trade finance capacity </w:t>
      </w:r>
      <w:r>
        <w:t xml:space="preserve">while backing the lending book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Network fee participation </w:t>
      </w:r>
      <w:r>
        <w:t xml:space="preserve">scaling with volume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Deterministic custody services </w:t>
      </w:r>
      <w:r>
        <w:t xml:space="preserve">capturing a $50B+ market internally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Compound effect </w:t>
      </w:r>
      <w:r>
        <w:t xml:space="preserve">of all layers operating simultaneously</w:t>
      </w:r>
    </w:p>
    <w:p>
      <w:pPr>
        <w:spacing w:before="300"/>
      </w:pPr>
      <w:r>
        <w:t xml:space="preserve">Banks that understand this architecture will never convert MG to fiat. The opportunity cost is too large. Instead, they will seek to increase their positions and expand their custody operations.</w:t>
      </w:r>
    </w:p>
    <w:p>
      <w:pPr>
        <w:spacing w:before="200"/>
      </w:pPr>
      <w:r>
        <w:rPr>
          <w:b/>
          <w:bCs/>
          <w:color w:val="b8960c"/>
        </w:rPr>
        <w:t xml:space="preserve">You have the reserve. You have the rails. You have the custody.</w:t>
      </w:r>
    </w:p>
    <w:p>
      <w:r>
        <w:rPr>
          <w:b/>
          <w:bCs/>
        </w:rPr>
        <w:t xml:space="preserve">Use them.</w:t>
      </w:r>
    </w:p>
    <w:p>
      <w:pPr>
        <w:spacing w:before="400"/>
        <w:jc w:val="center"/>
      </w:pPr>
      <w:r>
        <w:rPr>
          <w:color w:val="b8960c"/>
        </w:rPr>
        <w:t xml:space="preserve">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bCs/>
          <w:color w:val="b8960c"/>
          <w:sz w:val="24"/>
          <w:szCs w:val="24"/>
        </w:rPr>
        <w:t xml:space="preserve">FLAME Protocol</w:t>
      </w:r>
    </w:p>
    <w:p>
      <w:pPr>
        <w:jc w:val="center"/>
      </w:pPr>
      <w:r>
        <w:rPr>
          <w:i/>
          <w:iCs/>
          <w:color w:val="555555"/>
        </w:rPr>
        <w:t xml:space="preserve">Formal Ledger for Atomic &amp; Mandatory Execution</w:t>
      </w:r>
    </w:p>
    <w:p>
      <w:pPr>
        <w:spacing w:before="100"/>
        <w:jc w:val="center"/>
      </w:pPr>
      <w:r>
        <w:rPr>
          <w:color w:val="b8960c"/>
        </w:rPr>
        <w:t xml:space="preserve">flameqmm.app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FLAME Protocol — Exponential Leverage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Georgia" w:cs="Georgia" w:eastAsia="Georgia" w:hAnsi="Georgia"/>
      <w:b/>
      <w:bCs/>
      <w:color w:val="0d1b2a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Georgia" w:cs="Georgia" w:eastAsia="Georgia" w:hAnsi="Georgia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b896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2025-12-10T01:02:34.235Z</dcterms:created>
  <dcterms:modified xsi:type="dcterms:W3CDTF">2025-12-10T01:02:34.236Z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