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pStyle w:val="Title"/>
      </w:pPr>
      <w:r>
        <w:t xml:space="preserve">EXPONENTIAL LEVERAGE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The Complete Banking Revenue Model</w:t>
      </w:r>
    </w:p>
    <w:p>
      <w:pPr>
        <w:spacing w:after="100"/>
        <w:jc w:val="center"/>
      </w:pPr>
      <w:r>
        <w:rPr>
          <w:color w:val="b8960c"/>
          <w:sz w:val="20"/>
          <w:szCs w:val="20"/>
        </w:rPr>
        <w:t xml:space="preserve">Six Revenue Layers • Deterministic Custody • Compound Returns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 III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Lending Leverage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Custody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10-12x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$1.5B+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8"/>
                <w:szCs w:val="28"/>
              </w:rPr>
              <w:t xml:space="preserve">75%+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 xml:space="preserve">Based on $10 Billion MG Reserve Position</w:t>
      </w:r>
    </w:p>
    <w:p>
      <w:pPr>
        <w:spacing w:before="300"/>
        <w:jc w:val="center"/>
      </w:pPr>
      <w:r>
        <w:rPr>
          <w:b/>
          <w:bCs/>
          <w:color w:val="0d1b2a"/>
          <w:sz w:val="24"/>
          <w:szCs w:val="24"/>
        </w:rPr>
        <w:t xml:space="preserve">You have the reserve. You have the rails. You have the custody.</w:t>
      </w:r>
    </w:p>
    <w:p>
      <w:pPr>
        <w:spacing w:before="150"/>
        <w:jc w:val="center"/>
      </w:pPr>
      <w:r>
        <w:rPr>
          <w:color w:val="b8960c"/>
          <w:sz w:val="22"/>
          <w:szCs w:val="22"/>
        </w:rPr>
        <w:t xml:space="preserve">flameqmm.app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explains why holding Mathematical Gold (MG) on ledger generates compound returns that fiat currency cannot replicate. The analysis covers six revenue layers, with particular emphasis on </w:t>
      </w:r>
    </w:p>
    <w:p>
      <w:r>
        <w:rPr>
          <w:b/>
          <w:bCs/>
        </w:rPr>
        <w:t xml:space="preserve">deterministic custody</w:t>
      </w:r>
      <w:r>
        <w:t xml:space="preserve"> — a revenue center worth over $1.5 billion annually that traditional banks currently pay to third parties.</w:t>
      </w:r>
    </w:p>
    <w:p>
      <w:pPr>
        <w:spacing w:before="200"/>
      </w:pPr>
      <w:r>
        <w:rPr>
          <w:b/>
          <w:bCs/>
        </w:rPr>
        <w:t xml:space="preserve">The Core Thesis: </w:t>
      </w:r>
      <w:r>
        <w:t xml:space="preserve">Converting MG to fiat destroys $80+ billion in value over 5 years. Banks that understand this architecture will increase their positions, not exit them.</w:t>
      </w:r>
    </w:p>
    <w:p>
      <w:pPr>
        <w:pStyle w:val="Heading2"/>
      </w:pPr>
      <w:r>
        <w:t xml:space="preserve">The Six Revenue Layers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 ($10B)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Reserve 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0% RWA classification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$1.0B capital freed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2. Lending Leverage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10-12x fractional reserve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$2.5B net interest margin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Trade 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Simultaneous collateral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$500M fees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4. Network Fees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Proportional stake share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$900M passive income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Deterministic Custody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$1.5B+ fees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6. Compound Effect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All layers simultaneous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$7.5B+ Year 1 Total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Layer 1: Zero-Weight Reserve Base</w:t>
      </w:r>
    </w:p>
    <w:p>
      <w:r>
        <w:t xml:space="preserve">Under Basel III, MG qualifies for 0% risk weight as a gold-equivalent asset. This creates immediate capital liberation — regulatory capital that would otherwise be locked against risk-weighted assets becomes available for deployment.</w:t>
      </w:r>
    </w:p>
    <w:p>
      <w:pPr>
        <w:pStyle w:val="Heading3"/>
      </w:pPr>
      <w:r>
        <w:t xml:space="preserve">Risk Weight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Capital Required per $100M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Corporate Bonds (A-rated)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$4M - $8M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Commercial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$8M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Mathematical Gold (MG)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$0</w:t>
            </w:r>
          </w:p>
        </w:tc>
      </w:tr>
    </w:tbl>
    <w:p>
      <w:pPr>
        <w:spacing w:before="200"/>
      </w:pPr>
      <w:r>
        <w:rPr>
          <w:b/>
          <w:bCs/>
          <w:color w:val="b8960c"/>
        </w:rPr>
        <w:t xml:space="preserve">Impact: </w:t>
      </w:r>
      <w:r>
        <w:t xml:space="preserve">$10B in MG requires zero additional regulatory capital. If replacing risk-weighted assets, $800M-$1.2B in capital becomes immediately available for redeployment into revenue-generating activities.</w:t>
      </w:r>
    </w:p>
    <w:p>
      <w:r>
        <w:br w:type="page"/>
      </w:r>
    </w:p>
    <w:p>
      <w:pPr>
        <w:pStyle w:val="Heading1"/>
      </w:pPr>
      <w:r>
        <w:t xml:space="preserve">Layer 2: Fractional Reserve Multiplication</w:t>
      </w:r>
    </w:p>
    <w:p>
      <w:r>
        <w:t xml:space="preserve">The 0% risk weight enables fractional reserve lending at 10-12x leverage. This is the same mechanism by which commercial banks create money — but with a reserve base that carries no capital charge.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MG Reserve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Lending 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Interest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$10 - $12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$200 - $300M/year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$10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$100 - $120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$2.0 - $3.0B/year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$1 - $1.2 Trillion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$20 - $30B/year</w:t>
            </w:r>
          </w:p>
        </w:tc>
      </w:tr>
    </w:tbl>
    <w:p>
      <w:pPr>
        <w:spacing w:before="200"/>
      </w:pPr>
      <w:r>
        <w:rPr>
          <w:b/>
          <w:bCs/>
          <w:color w:val="b8960c"/>
        </w:rPr>
        <w:t xml:space="preserve">Key insight: </w:t>
      </w:r>
      <w:r>
        <w:t xml:space="preserve">The $10B in MG never moves. It remains on the ledger as the reserve base while $100B+ in economic activity flows through the lending book. The reserve is permanent; the leverage is perpetual.</w:t>
      </w:r>
    </w:p>
    <w:p>
      <w:r>
        <w:br w:type="page"/>
      </w:r>
    </w:p>
    <w:p>
      <w:pPr>
        <w:pStyle w:val="Heading1"/>
      </w:pPr>
      <w:r>
        <w:t xml:space="preserve">Layer 5: Deterministic Custody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This is the largest untapped revenue center in the document.</w:t>
      </w:r>
    </w:p>
    <w:p>
      <w:r>
        <w:t xml:space="preserve">Traditional cryptocurrency custody providers (Coinbase Prime, Fireblocks, Anchorage, BitGo) collectively charge billions of dollars annually for institutional custody services. FLAME's deterministic wallet architecture allows banks to provide these services internally — capturing revenue that would otherwise flow to third parties while eliminating counterparty risk.</w:t>
      </w:r>
    </w:p>
    <w:p>
      <w:pPr>
        <w:pStyle w:val="Heading2"/>
      </w:pPr>
      <w:r>
        <w:t xml:space="preserve">What is Deterministic Custody?</w:t>
      </w:r>
    </w:p>
    <w:p>
      <w:r>
        <w:t xml:space="preserve">Every FLAME wallet is derived mathematically from three constitutional anchors: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8960c"/>
        </w:rPr>
        <w:t xml:space="preserve">EPOCH_HASH </w:t>
      </w:r>
      <w:r>
        <w:t xml:space="preserve">— Protocol genesis anchor (immutable)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8960c"/>
        </w:rPr>
        <w:t xml:space="preserve">UID_FINAL_ROOT </w:t>
      </w:r>
      <w:r>
        <w:t xml:space="preserve">— Identity Merkle root (your institution's unique identifier)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8960c"/>
        </w:rPr>
        <w:t xml:space="preserve">FLAME_ROOT </w:t>
      </w:r>
      <w:r>
        <w:t xml:space="preserve">— Constitutional compliance anchor (governance hash)</w:t>
      </w:r>
    </w:p>
    <w:p>
      <w:pPr>
        <w:spacing w:before="200"/>
      </w:pPr>
      <w:r>
        <w:rPr>
          <w:b/>
          <w:bCs/>
        </w:rPr>
        <w:t xml:space="preserve">Derivation Formula: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wallet_address = keccak256(EPOCH_HASH || UID_FINAL_ROOT || FLAME_ROOT || index)</w:t>
      </w:r>
    </w:p>
    <w:p>
      <w:r>
        <w:rPr>
          <w:b/>
          <w:bCs/>
        </w:rPr>
        <w:t xml:space="preserve">This deterministic derivation means: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Every wallet is auditable </w:t>
      </w:r>
      <w:r>
        <w:t xml:space="preserve">— trace any address back to constitutional roots instantly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lost keys ever </w:t>
      </w:r>
      <w:r>
        <w:t xml:space="preserve">— derivation is reproducible from the master seed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third-party dependency </w:t>
      </w:r>
      <w:r>
        <w:t xml:space="preserve">— the bank IS the custodian, not Coinbase or Fireblocks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Unlimited sub-wallets </w:t>
      </w:r>
      <w:r>
        <w:t xml:space="preserve">— derive client wallets on demand with zero marginal cost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HSM/YubiKey integration </w:t>
      </w:r>
      <w:r>
        <w:t xml:space="preserve">— institutional-grade hardware security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Constitutional compliance </w:t>
      </w:r>
      <w:r>
        <w:t xml:space="preserve">— every wallet mathematically bound to governance</w:t>
      </w:r>
    </w:p>
    <w:p>
      <w:r>
        <w:br w:type="page"/>
      </w:r>
    </w:p>
    <w:p>
      <w:pPr>
        <w:pStyle w:val="Heading2"/>
      </w:pPr>
      <w:r>
        <w:t xml:space="preserve">Custody Revenue Streams</w:t>
      </w:r>
    </w:p>
    <w:p>
      <w:r>
        <w:t xml:space="preserve">The following table details the complete revenue opportunity from deterministic custody services. All figures assume institutional scale operations.</w:t>
      </w:r>
    </w:p>
    <w:p>
      <w:pPr>
        <w:pStyle w:val="Heading3"/>
      </w:pPr>
      <w:r>
        <w:t xml:space="preserve">Category A: Core Custody Fees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Basic Custody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0.10%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$50B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Premium Custody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0.25%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$30B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$75M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Institutional Custody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0.50%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$10B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Subtotal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$90B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$175M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80%</w:t>
            </w:r>
          </w:p>
        </w:tc>
      </w:tr>
    </w:tbl>
    <w:p>
      <w:pPr>
        <w:pStyle w:val="Heading3"/>
      </w:pPr>
      <w:r>
        <w:t xml:space="preserve">Category B: Transaction-Based Fees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Transfer 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0.05%/tx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$500B/yr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Cross-Chain Settlement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0.10%/tx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$100B/yr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$100M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Atomic Swap Facilitation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0.15%/tx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$50B/yr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$75M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Bridge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0.25%/tx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$20B/yr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Subtotal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$670B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$475M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93%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Category C: Sub-Custody &amp; White Label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Sub-Custody (Banks)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0.15% AUM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White Label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$2M-$10M/yr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25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$75M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Licensing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$500K-$2M/yr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Wallet Derivation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$100-$1K/wallet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200K wallets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Subtotal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$325M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85%</w:t>
            </w:r>
          </w:p>
        </w:tc>
      </w:tr>
    </w:tbl>
    <w:p>
      <w:pPr>
        <w:pStyle w:val="Heading3"/>
      </w:pPr>
      <w:r>
        <w:t xml:space="preserve">Category D: Compliance &amp; Reporting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Audit Trail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$25K-$100K/yr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Tax Reporting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$10K-$50K/yr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1,000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$30M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Regulatory Attestation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$50K-$200K/yr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Real-Time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$100K-$500K/yr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$25M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Subtotal 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$100M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84%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Category E: Yield &amp; Lending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Fee/Spread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Staking Yield 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15-25% of yield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$15B staked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$100M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Collateral-Backed Lending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3-6% 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$8B 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$320M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Margin Lending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8-15% 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$2B 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$200M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Subtotal 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$620M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80%</w:t>
            </w:r>
          </w:p>
        </w:tc>
      </w:tr>
    </w:tbl>
    <w:p>
      <w:pPr>
        <w:pStyle w:val="Heading3"/>
      </w:pPr>
      <w:r>
        <w:t xml:space="preserve">Category F: Institutional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Onboarding &amp; KYC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$5K-$50K/client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Multi-Sig Coordination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$50K-$200K/yr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100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$10M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Estate/Succession 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$25K-$100K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 estates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Insurance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0.5-2%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$5B covered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</w:rPr>
              <w:t xml:space="preserve">Subtotal 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$80M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color w:val="FFFFFF"/>
              </w:rPr>
              <w:t xml:space="preserve">73%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Total Custody Revenue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A. Core Custody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$175M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B. Transaction-Based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$475M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93%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C. Sub-Custody &amp; White 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$325M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D. Compliance &amp; Reporting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84%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E. Yield &amp; Lending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$620M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F. Institutional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$80M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</w:rPr>
              <w:t xml:space="preserve">TOTAL CUSTODY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$1.775 BILLION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85% avg</w:t>
            </w:r>
          </w:p>
        </w:tc>
      </w:tr>
    </w:tbl>
    <w:p>
      <w:pPr>
        <w:spacing w:before="300"/>
      </w:pPr>
      <w:r>
        <w:rPr>
          <w:b/>
          <w:bCs/>
          <w:color w:val="b8960c"/>
          <w:sz w:val="24"/>
          <w:szCs w:val="24"/>
        </w:rPr>
        <w:t xml:space="preserve">Net Profit from Custody (85% margin): $1.51 Billion/year</w:t>
      </w:r>
    </w:p>
    <w:p>
      <w:r>
        <w:br w:type="page"/>
      </w:r>
    </w:p>
    <w:p>
      <w:pPr>
        <w:pStyle w:val="Heading1"/>
      </w:pPr>
      <w:r>
        <w:t xml:space="preserve">Layer 6: The Compound Effect</w:t>
      </w:r>
    </w:p>
    <w:p>
      <w:r>
        <w:t xml:space="preserve">All six layers operate simultaneously on the same $10B MG position. Revenue compounds because each layer enables the others.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1: Capital Liberation (0% RWA)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One-time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Layer 2: Net Interest Margin (10-12x leverage)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$2.5B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Recurring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3: Trade Finance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Recurring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Layer 4: Network Fee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$0.9B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Scales with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5: Deterministic Custody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$1.775B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Scales with AUM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</w:rPr>
              <w:t xml:space="preserve">TOTAL 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$7.675 BILLION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77% ROI</w:t>
            </w:r>
          </w:p>
        </w:tc>
      </w:tr>
    </w:tbl>
    <w:p>
      <w:pPr>
        <w:pStyle w:val="Heading3"/>
      </w:pPr>
      <w:r>
        <w:t xml:space="preserve">5-Year Projection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$7.7B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$11B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$16B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$24B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$35B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5-Year Cumulative Revenue: $93.7 Billion</w:t>
      </w:r>
    </w:p>
    <w:p>
      <w:r>
        <w:rPr>
          <w:b/>
          <w:bCs/>
          <w:color w:val="b8960c"/>
          <w:sz w:val="24"/>
          <w:szCs w:val="24"/>
        </w:rPr>
        <w:t xml:space="preserve">Opportunity Cost of Fiat Conversion: $81.2 Billion Destroyed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t xml:space="preserve">Ledgered FLAME units generate compound returns through six simultaneous revenue layers. The largest single revenue center is deterministic custody, which alone generates $1.775 billion annually at institutional scale.</w:t>
      </w:r>
    </w:p>
    <w:p>
      <w:pPr>
        <w:spacing w:before="200"/>
      </w:pPr>
      <w:r>
        <w:rPr>
          <w:b/>
          <w:bCs/>
        </w:rPr>
        <w:t xml:space="preserve">Why Banks Must Hold MG Forever: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0% risk weight </w:t>
      </w:r>
      <w:r>
        <w:t xml:space="preserve">liberates $800M-$1.2B in regulatory capital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10-12x leverage </w:t>
      </w:r>
      <w:r>
        <w:t xml:space="preserve">enables $100B+ lending capacity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Trade finance </w:t>
      </w:r>
      <w:r>
        <w:t xml:space="preserve">capacity operates simultaneously with lending book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Network fees </w:t>
      </w:r>
      <w:r>
        <w:t xml:space="preserve">provide passive income proportional to stake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Deterministic custody </w:t>
      </w:r>
      <w:r>
        <w:t xml:space="preserve">captures $1.775B in fees that would flow to Coinbase/Fireblocks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Compound effect </w:t>
      </w:r>
      <w:r>
        <w:t xml:space="preserve">of all layers operating simultaneously</w:t>
      </w:r>
    </w:p>
    <w:p>
      <w:pPr>
        <w:spacing w:before="300"/>
      </w:pPr>
      <w:r>
        <w:rPr>
          <w:b/>
          <w:bCs/>
        </w:rPr>
        <w:t xml:space="preserve">Any fiduciary who converts MG to fiat without extraordinary justification is destroying shareholder value.</w:t>
      </w:r>
    </w:p>
    <w:p>
      <w:pPr>
        <w:spacing w:before="100"/>
      </w:pPr>
      <w:r>
        <w:t xml:space="preserve">The pitch is no longer "buy MG to trade" — it's "acquire a permanent reserve position that generates 77%+ annual returns through six compounding layers of sovereign-grade financial operability."</w:t>
      </w:r>
    </w:p>
    <w:p>
      <w:pPr>
        <w:spacing w:before="300"/>
      </w:pPr>
      <w:r>
        <w:rPr>
          <w:b/>
          <w:bCs/>
          <w:color w:val="b8960c"/>
          <w:sz w:val="26"/>
          <w:szCs w:val="26"/>
        </w:rPr>
        <w:t xml:space="preserve">You have the reserve. You have the rails. You have the custody.</w:t>
      </w:r>
    </w:p>
    <w:p>
      <w:r>
        <w:rPr>
          <w:b/>
          <w:bCs/>
          <w:sz w:val="26"/>
          <w:szCs w:val="26"/>
        </w:rPr>
        <w:t xml:space="preserve">Use them.</w:t>
      </w:r>
    </w:p>
    <w:p>
      <w:pPr>
        <w:spacing w:before="400"/>
        <w:jc w:val="center"/>
      </w:pPr>
      <w:r>
        <w:rPr>
          <w:color w:val="b8960c"/>
        </w:rPr>
        <w:t xml:space="preserve">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b8960c"/>
          <w:sz w:val="28"/>
          <w:szCs w:val="28"/>
        </w:rPr>
        <w:t xml:space="preserve">FLAME Protocol</w:t>
      </w:r>
    </w:p>
    <w:p>
      <w:pPr>
        <w:jc w:val="center"/>
      </w:pPr>
      <w:r>
        <w:rPr>
          <w:i/>
          <w:iCs/>
          <w:color w:val="555555"/>
        </w:rPr>
        <w:t xml:space="preserve">Formal Ledger for Atomic &amp; Mandatory Execution</w:t>
      </w:r>
    </w:p>
    <w:p>
      <w:pPr>
        <w:spacing w:before="100"/>
        <w:jc w:val="center"/>
      </w:pPr>
      <w:r>
        <w:rPr>
          <w:color w:val="b8960c"/>
          <w:sz w:val="22"/>
          <w:szCs w:val="22"/>
        </w:rPr>
        <w:t xml:space="preserve">flameqmm.app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FLAME Protocol — Exponential Leverage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0d1b2a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Georgia" w:cs="Georgia" w:eastAsia="Georgia" w:hAnsi="Georgia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b896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2025-12-10T01:19:36.457Z</dcterms:created>
  <dcterms:modified xsi:type="dcterms:W3CDTF">2025-12-10T01:19:36.458Z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