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color w:val="C9A227"/>
          <w:sz w:val="120"/>
          <w:szCs w:val="120"/>
        </w:rPr>
        <w:t xml:space="preserve">◈</w:t>
      </w:r>
    </w:p>
    <w:p>
      <w:pPr>
        <w:spacing w:before="400"/>
        <w:jc w:val="center"/>
      </w:pPr>
      <w:r>
        <w:rPr>
          <w:rFonts w:ascii="Georgia" w:cs="Georgia" w:eastAsia="Georgia" w:hAnsi="Georgia"/>
          <w:b/>
          <w:bCs/>
          <w:color w:val="0A1628"/>
          <w:sz w:val="72"/>
          <w:szCs w:val="72"/>
        </w:rPr>
        <w:t xml:space="preserve">FLAME PROTOCOL</w:t>
      </w:r>
    </w:p>
    <w:p>
      <w:pPr>
        <w:jc w:val="center"/>
      </w:pPr>
      <w:r>
        <w:rPr>
          <w:i/>
          <w:iCs/>
          <w:color w:val="666666"/>
          <w:sz w:val="28"/>
          <w:szCs w:val="28"/>
        </w:rPr>
        <w:t xml:space="preserve">Formal Ledger for Atomic &amp; Mandatory Execution</w:t>
      </w:r>
    </w:p>
    <w:p>
      <w:pPr>
        <w:spacing w:before="600"/>
        <w:jc w:val="center"/>
      </w:pPr>
      <w:r>
        <w:rPr>
          <w:b/>
          <w:bCs/>
          <w:color w:val="C9A227"/>
          <w:sz w:val="32"/>
          <w:szCs w:val="32"/>
        </w:rPr>
        <w:t xml:space="preserve">INSTITUTIONAL WHITE PAPER</w:t>
      </w:r>
    </w:p>
    <w:p>
      <w:pPr>
        <w:spacing w:before="200"/>
        <w:jc w:val="center"/>
      </w:pPr>
      <w:r>
        <w:rPr>
          <w:color w:val="333333"/>
          <w:sz w:val="24"/>
          <w:szCs w:val="24"/>
        </w:rPr>
        <w:t xml:space="preserve">Pre-Verified, Liquid Settlement Infrastructure</w:t>
      </w:r>
    </w:p>
    <w:p>
      <w:pPr>
        <w:spacing w:before="600"/>
        <w:jc w:val="center"/>
      </w:pPr>
      <w:r>
        <w:rPr>
          <w:b/>
          <w:bCs/>
          <w:color w:val="0A1628"/>
          <w:sz w:val="24"/>
          <w:szCs w:val="24"/>
        </w:rPr>
        <w:t xml:space="preserve">Autochthon Kingdom Decentralized Sovereign Trust</w:t>
      </w:r>
    </w:p>
    <w:p>
      <w:pPr>
        <w:jc w:val="center"/>
      </w:pPr>
      <w:r>
        <w:rPr>
          <w:i/>
          <w:iCs/>
          <w:color w:val="C9A227"/>
          <w:sz w:val="20"/>
          <w:szCs w:val="20"/>
        </w:rPr>
        <w:t xml:space="preserve">Successor Treaty with the Delawares 1778</w:t>
      </w:r>
    </w:p>
    <w:p>
      <w:pPr>
        <w:spacing w:before="400"/>
        <w:jc w:val="center"/>
      </w:pPr>
      <w:r>
        <w:rPr>
          <w:color w:val="666666"/>
          <w:sz w:val="22"/>
          <w:szCs w:val="22"/>
        </w:rPr>
        <w:t xml:space="preserve">December 2025 — Version 1.0</w:t>
      </w:r>
    </w:p>
    <w:p>
      <w:r>
        <w:br w:type="page"/>
      </w:r>
    </w:p>
    <w:p>
      <w:pPr>
        <w:pStyle w:val="Heading1"/>
      </w:pPr>
      <w:r>
        <w:t xml:space="preserve">Executive Summary</w:t>
      </w:r>
    </w:p>
    <w:p>
      <w:pPr>
        <w:spacing w:after="200"/>
      </w:pPr>
      <w:r>
        <w:t xml:space="preserve">FLAME Protocol represents a fundamental shift in how financial institutions receive and verify funds. Unlike traditional wire transfers that arrive "pending" and require internal release procedures, FLAME settlements arrive </w:t>
      </w:r>
      <w:r>
        <w:rPr>
          <w:b/>
          <w:bCs/>
        </w:rPr>
        <w:t xml:space="preserve">pre-verified and liquid</w:t>
      </w:r>
      <w:r>
        <w:t xml:space="preserve">—exactly like receiving cryptocurrency.</w:t>
      </w:r>
    </w:p>
    <w:p>
      <w:pPr>
        <w:spacing w:after="200"/>
      </w:pPr>
      <w:r>
        <w:t xml:space="preserve">The key insight: </w:t>
      </w:r>
      <w:r>
        <w:rPr>
          <w:b/>
          <w:bCs/>
          <w:i/>
          <w:iCs/>
          <w:color w:val="C9A227"/>
        </w:rPr>
        <w:t xml:space="preserve">You don't "release" Bitcoin. You verify it—and it's yours.</w:t>
      </w:r>
    </w:p>
    <w:p>
      <w:pPr>
        <w:spacing w:after="200"/>
      </w:pPr>
      <w:r>
        <w:t xml:space="preserve">FLAME works the same way. Funds are locked in our Treasury smart contract on Ethereum mainnet before any settlement instruction reaches you. Your verification of the cryptographic proof IS the release.</w:t>
      </w:r>
    </w:p>
    <w:p>
      <w:pPr>
        <w:pStyle w:val="Heading2"/>
      </w:pPr>
      <w:r>
        <w:t xml:space="preserve">Key Benefits</w:t>
      </w:r>
    </w:p>
    <w:p>
      <w:pPr>
        <w:pStyle w:val="ListParagraph"/>
        <w:numPr>
          <w:ilvl w:val="0"/>
          <w:numId w:val="2"/>
        </w:numPr>
      </w:pPr>
      <w:r>
        <w:rPr>
          <w:b/>
          <w:bCs/>
        </w:rPr>
        <w:t xml:space="preserve">Atomic Settlement: </w:t>
      </w:r>
      <w:r>
        <w:t xml:space="preserve">Funds arrive fully settled, not pending</w:t>
      </w:r>
    </w:p>
    <w:p>
      <w:pPr>
        <w:pStyle w:val="ListParagraph"/>
        <w:numPr>
          <w:ilvl w:val="0"/>
          <w:numId w:val="2"/>
        </w:numPr>
      </w:pPr>
      <w:r>
        <w:rPr>
          <w:b/>
          <w:bCs/>
        </w:rPr>
        <w:t xml:space="preserve">Pre-Verified Liquidity: </w:t>
      </w:r>
      <w:r>
        <w:t xml:space="preserve">Locked in Treasury contract before transmission</w:t>
      </w:r>
    </w:p>
    <w:p>
      <w:pPr>
        <w:pStyle w:val="ListParagraph"/>
        <w:numPr>
          <w:ilvl w:val="0"/>
          <w:numId w:val="2"/>
        </w:numPr>
      </w:pPr>
      <w:r>
        <w:rPr>
          <w:b/>
          <w:bCs/>
        </w:rPr>
        <w:t xml:space="preserve">Zero Release Steps: </w:t>
      </w:r>
      <w:r>
        <w:t xml:space="preserve">Verification = Confirmation</w:t>
      </w:r>
    </w:p>
    <w:p>
      <w:pPr>
        <w:pStyle w:val="ListParagraph"/>
        <w:numPr>
          <w:ilvl w:val="0"/>
          <w:numId w:val="2"/>
        </w:numPr>
      </w:pPr>
      <w:r>
        <w:rPr>
          <w:b/>
          <w:bCs/>
        </w:rPr>
        <w:t xml:space="preserve">Mainnet Verifiable: </w:t>
      </w:r>
      <w:r>
        <w:t xml:space="preserve">All proofs checkable on Ethereum</w:t>
      </w:r>
    </w:p>
    <w:p>
      <w:pPr>
        <w:pStyle w:val="ListParagraph"/>
        <w:numPr>
          <w:ilvl w:val="0"/>
          <w:numId w:val="2"/>
        </w:numPr>
      </w:pPr>
      <w:r>
        <w:rPr>
          <w:b/>
          <w:bCs/>
        </w:rPr>
        <w:t xml:space="preserve">Multi-Rail Support: </w:t>
      </w:r>
      <w:r>
        <w:t xml:space="preserve">SWIFT, ACH, ETH, USDT, USDC, BTC</w:t>
      </w:r>
    </w:p>
    <w:p>
      <w:r>
        <w:br w:type="page"/>
      </w:r>
    </w:p>
    <w:p>
      <w:pPr>
        <w:pStyle w:val="Heading1"/>
      </w:pPr>
      <w:r>
        <w:t xml:space="preserve">The Paradigm Shift</w:t>
      </w:r>
    </w:p>
    <w:p>
      <w:pPr>
        <w:pStyle w:val="Heading2"/>
      </w:pPr>
      <w:r>
        <w:t xml:space="preserve">Traditional Fund Transfers</w:t>
      </w:r>
    </w:p>
    <w:p>
      <w:pPr>
        <w:spacing w:after="200"/>
      </w:pPr>
      <w:r>
        <w:t xml:space="preserve">In traditional banking, when funds arrive via wire transfer, they enter a "pending" state. Internal procedures must verify source, compliance, and availability before the funds are liquid:</w:t>
      </w:r>
    </w:p>
    <w:p>
      <w:pPr>
        <w:pStyle w:val="ListParagraph"/>
        <w:numPr>
          <w:ilvl w:val="0"/>
          <w:numId w:val="2"/>
        </w:numPr>
      </w:pPr>
      <w:r>
        <w:t xml:space="preserve">Manual document review requirements</w:t>
      </w:r>
    </w:p>
    <w:p>
      <w:pPr>
        <w:pStyle w:val="ListParagraph"/>
        <w:numPr>
          <w:ilvl w:val="0"/>
          <w:numId w:val="2"/>
        </w:numPr>
      </w:pPr>
      <w:r>
        <w:t xml:space="preserve">Multiple intermediary attestations</w:t>
      </w:r>
    </w:p>
    <w:p>
      <w:pPr>
        <w:pStyle w:val="ListParagraph"/>
        <w:numPr>
          <w:ilvl w:val="0"/>
          <w:numId w:val="2"/>
        </w:numPr>
      </w:pPr>
      <w:r>
        <w:t xml:space="preserve">3-5 day settlement windows</w:t>
      </w:r>
    </w:p>
    <w:p>
      <w:pPr>
        <w:pStyle w:val="ListParagraph"/>
        <w:numPr>
          <w:ilvl w:val="0"/>
          <w:numId w:val="2"/>
        </w:numPr>
      </w:pPr>
      <w:r>
        <w:t xml:space="preserve">Trust-based provenance</w:t>
      </w:r>
    </w:p>
    <w:p>
      <w:pPr>
        <w:pStyle w:val="Heading2"/>
      </w:pPr>
      <w:r>
        <w:t xml:space="preserve">The Cryptocurrency Model</w:t>
      </w:r>
    </w:p>
    <w:p>
      <w:pPr>
        <w:spacing w:after="200"/>
      </w:pPr>
      <w:r>
        <w:t xml:space="preserve">When someone sends you Bitcoin or USDT, what do you do?</w:t>
      </w:r>
    </w:p>
    <w:p>
      <w:pPr>
        <w:pStyle w:val="ListParagraph"/>
        <w:numPr>
          <w:ilvl w:val="0"/>
          <w:numId w:val="3"/>
        </w:numPr>
      </w:pPr>
      <w:r>
        <w:t xml:space="preserve">Check the transaction on the blockchain</w:t>
      </w:r>
    </w:p>
    <w:p>
      <w:pPr>
        <w:pStyle w:val="ListParagraph"/>
        <w:numPr>
          <w:ilvl w:val="0"/>
          <w:numId w:val="3"/>
        </w:numPr>
      </w:pPr>
      <w:r>
        <w:t xml:space="preserve">Verify confirmations (proof of finality)</w:t>
      </w:r>
    </w:p>
    <w:p>
      <w:pPr>
        <w:pStyle w:val="ListParagraph"/>
        <w:numPr>
          <w:ilvl w:val="0"/>
          <w:numId w:val="3"/>
        </w:numPr>
      </w:pPr>
      <w:r>
        <w:rPr>
          <w:b/>
          <w:bCs/>
        </w:rPr>
        <w:t xml:space="preserve">Done. </w:t>
      </w:r>
      <w:r>
        <w:t xml:space="preserve">The funds are yours.</w:t>
      </w:r>
    </w:p>
    <w:p>
      <w:pPr>
        <w:spacing w:before="200" w:after="200"/>
      </w:pPr>
      <w:r>
        <w:rPr>
          <w:i/>
          <w:iCs/>
          <w:color w:val="333333"/>
        </w:rPr>
        <w:t xml:space="preserve">There is no "release procedure" for Bitcoin because the settlement already happened. The blockchain IS the proof.</w:t>
      </w:r>
    </w:p>
    <w:p>
      <w:pPr>
        <w:pStyle w:val="Heading2"/>
      </w:pPr>
      <w:r>
        <w:t xml:space="preserve">FLAME Protocol: Best of Both Worlds</w:t>
      </w:r>
    </w:p>
    <w:p>
      <w:pPr>
        <w:spacing w:after="200"/>
      </w:pPr>
      <w:r>
        <w:t xml:space="preserve">FLAME combines cryptographic certainty of blockchain with traditional banking rails:</w:t>
      </w:r>
    </w:p>
    <w:p>
      <w:pPr>
        <w:pStyle w:val="ListParagraph"/>
        <w:numPr>
          <w:ilvl w:val="0"/>
          <w:numId w:val="4"/>
        </w:numPr>
      </w:pPr>
      <w:r>
        <w:t xml:space="preserve">Check the Merkle proof on Ethereum mainnet</w:t>
      </w:r>
    </w:p>
    <w:p>
      <w:pPr>
        <w:pStyle w:val="ListParagraph"/>
        <w:numPr>
          <w:ilvl w:val="0"/>
          <w:numId w:val="4"/>
        </w:numPr>
      </w:pPr>
      <w:r>
        <w:t xml:space="preserve">Verify the four pillars (proof of validity)</w:t>
      </w:r>
    </w:p>
    <w:p>
      <w:pPr>
        <w:pStyle w:val="ListParagraph"/>
        <w:numPr>
          <w:ilvl w:val="0"/>
          <w:numId w:val="4"/>
        </w:numPr>
      </w:pPr>
      <w:r>
        <w:rPr>
          <w:b/>
          <w:bCs/>
        </w:rPr>
        <w:t xml:space="preserve">Done. </w:t>
      </w:r>
      <w:r>
        <w:t xml:space="preserve">The funds are yours.</w:t>
      </w:r>
    </w:p>
    <w:p>
      <w:pPr>
        <w:spacing w:before="200" w:after="200"/>
      </w:pPr>
      <w:r>
        <w:rPr>
          <w:b/>
          <w:bCs/>
          <w:color w:val="C9A227"/>
        </w:rPr>
        <w:t xml:space="preserve">The funds are liquid BEFORE they arrive. Your job is verification, not release.</w:t>
      </w:r>
    </w:p>
    <w:p>
      <w:r>
        <w:br w:type="page"/>
      </w:r>
    </w:p>
    <w:p>
      <w:pPr>
        <w:pStyle w:val="Heading1"/>
      </w:pPr>
      <w:r>
        <w:t xml:space="preserve">The Four Pillars of Fund Integrity</w:t>
      </w:r>
    </w:p>
    <w:p>
      <w:pPr>
        <w:spacing w:after="200"/>
      </w:pPr>
      <w:r>
        <w:t xml:space="preserve">Every FLAME settlement is validated across four independent dimensions, each producing cryptographic proof verifiable on Ethereum mainnet.</w:t>
      </w:r>
    </w:p>
    <w:p>
      <w:pPr>
        <w:pStyle w:val="Heading2"/>
      </w:pPr>
      <w:r>
        <w:t xml:space="preserve">Pillar 1: Chain of Title</w:t>
      </w:r>
    </w:p>
    <w:p>
      <w:pPr>
        <w:spacing w:after="100"/>
      </w:pPr>
      <w:r>
        <w:rPr>
          <w:b/>
          <w:bCs/>
        </w:rPr>
        <w:t xml:space="preserve">Proof Type: </w:t>
      </w:r>
      <w:r>
        <w:rPr>
          <w:rFonts w:ascii="Courier New" w:cs="Courier New" w:eastAsia="Courier New" w:hAnsi="Courier New"/>
          <w:color w:val="C9A227"/>
        </w:rPr>
        <w:t xml:space="preserve">MERKLE_INCLUSION_PROOF</w:t>
      </w:r>
    </w:p>
    <w:p>
      <w:pPr>
        <w:spacing w:after="200"/>
      </w:pPr>
      <w:r>
        <w:t xml:space="preserve">Complete ownership history from origination, cryptographically linked via Merkle tree. Like deed searches—but immutable.</w:t>
      </w:r>
    </w:p>
    <w:p>
      <w:pPr>
        <w:pStyle w:val="Heading2"/>
      </w:pPr>
      <w:r>
        <w:t xml:space="preserve">Pillar 2: Clean Funds Certification</w:t>
      </w:r>
    </w:p>
    <w:p>
      <w:pPr>
        <w:spacing w:after="100"/>
      </w:pPr>
      <w:r>
        <w:rPr>
          <w:b/>
          <w:bCs/>
        </w:rPr>
        <w:t xml:space="preserve">Proof Type: </w:t>
      </w:r>
      <w:r>
        <w:rPr>
          <w:rFonts w:ascii="Courier New" w:cs="Courier New" w:eastAsia="Courier New" w:hAnsi="Courier New"/>
          <w:color w:val="C9A227"/>
        </w:rPr>
        <w:t xml:space="preserve">COMPLIANCE_ATTESTATION</w:t>
      </w:r>
    </w:p>
    <w:p>
      <w:pPr>
        <w:spacing w:after="200"/>
      </w:pPr>
      <w:r>
        <w:t xml:space="preserve">AML/KYC compliance with cryptographic attestation. Source of wealth documented on-chain.</w:t>
      </w:r>
    </w:p>
    <w:p>
      <w:pPr>
        <w:pStyle w:val="Heading2"/>
      </w:pPr>
      <w:r>
        <w:t xml:space="preserve">Pillar 3: Asset Backing Verification</w:t>
      </w:r>
    </w:p>
    <w:p>
      <w:pPr>
        <w:spacing w:after="100"/>
      </w:pPr>
      <w:r>
        <w:rPr>
          <w:b/>
          <w:bCs/>
        </w:rPr>
        <w:t xml:space="preserve">Proof Type: </w:t>
      </w:r>
      <w:r>
        <w:rPr>
          <w:rFonts w:ascii="Courier New" w:cs="Courier New" w:eastAsia="Courier New" w:hAnsi="Courier New"/>
          <w:color w:val="C9A227"/>
        </w:rPr>
        <w:t xml:space="preserve">VAULT_ATTESTATION</w:t>
      </w:r>
    </w:p>
    <w:p>
      <w:pPr>
        <w:spacing w:after="200"/>
      </w:pPr>
      <w:r>
        <w:t xml:space="preserve">Physical and digital assets verified through vault attestations and custody proofs.</w:t>
      </w:r>
    </w:p>
    <w:p>
      <w:pPr>
        <w:pStyle w:val="Heading2"/>
      </w:pPr>
      <w:r>
        <w:t xml:space="preserve">Pillar 4: Liquidity Availability</w:t>
      </w:r>
    </w:p>
    <w:p>
      <w:pPr>
        <w:spacing w:after="100"/>
      </w:pPr>
      <w:r>
        <w:rPr>
          <w:b/>
          <w:bCs/>
        </w:rPr>
        <w:t xml:space="preserve">Proof Type: </w:t>
      </w:r>
      <w:r>
        <w:rPr>
          <w:rFonts w:ascii="Courier New" w:cs="Courier New" w:eastAsia="Courier New" w:hAnsi="Courier New"/>
          <w:color w:val="C9A227"/>
        </w:rPr>
        <w:t xml:space="preserve">LIQUIDITY_COMMITMENT</w:t>
      </w:r>
    </w:p>
    <w:p>
      <w:pPr>
        <w:spacing w:after="200"/>
      </w:pPr>
      <w:r>
        <w:t xml:space="preserve">Real-time verification funds are available and not committed elsewhere. Atomic execution guarantee.</w:t>
      </w:r>
    </w:p>
    <w:p>
      <w:r>
        <w:br w:type="page"/>
      </w:r>
    </w:p>
    <w:p>
      <w:pPr>
        <w:pStyle w:val="Heading1"/>
      </w:pPr>
      <w:r>
        <w:t xml:space="preserve">Ethereum Mainnet Verification</w:t>
      </w:r>
    </w:p>
    <w:p>
      <w:pPr>
        <w:spacing w:after="200"/>
      </w:pPr>
      <w:r>
        <w:rPr>
          <w:b/>
          <w:bCs/>
        </w:rPr>
        <w:t xml:space="preserve">Don't trust us—verify. </w:t>
      </w:r>
      <w:r>
        <w:t xml:space="preserve">All FLAME contracts are on Ethereum mainnet.</w:t>
      </w:r>
    </w:p>
    <w:p>
      <w:pPr>
        <w:pStyle w:val="Heading2"/>
      </w:pPr>
      <w:r>
        <w:t xml:space="preserve">Treasury Vault</w:t>
      </w:r>
    </w:p>
    <w:p>
      <w:r>
        <w:rPr>
          <w:rFonts w:ascii="Courier New" w:cs="Courier New" w:eastAsia="Courier New" w:hAnsi="Courier New"/>
          <w:color w:val="C9A227"/>
          <w:sz w:val="20"/>
          <w:szCs w:val="20"/>
        </w:rPr>
        <w:t xml:space="preserve">0x90206A9888E3963c22f6AD1c79245b6250CFc016</w:t>
      </w:r>
    </w:p>
    <w:p>
      <w:pPr>
        <w:spacing w:after="200"/>
      </w:pPr>
      <w:r>
        <w:t xml:space="preserve">Where funds are locked before settlement transmission. Verify balances directly on Etherscan.</w:t>
      </w:r>
    </w:p>
    <w:p>
      <w:pPr>
        <w:pStyle w:val="Heading2"/>
      </w:pPr>
      <w:r>
        <w:t xml:space="preserve">P-Verifier</w:t>
      </w:r>
    </w:p>
    <w:p>
      <w:r>
        <w:rPr>
          <w:rFonts w:ascii="Courier New" w:cs="Courier New" w:eastAsia="Courier New" w:hAnsi="Courier New"/>
          <w:color w:val="C9A227"/>
          <w:sz w:val="20"/>
          <w:szCs w:val="20"/>
        </w:rPr>
        <w:t xml:space="preserve">0x6cA24fe8e6550bc2B2A6E56F78855061768Bc4c7</w:t>
      </w:r>
    </w:p>
    <w:p>
      <w:pPr>
        <w:spacing w:after="200"/>
      </w:pPr>
      <w:r>
        <w:t xml:space="preserve">Proof verification system. Call verifyProof() with any Merkle UID.</w:t>
      </w:r>
    </w:p>
    <w:p>
      <w:pPr>
        <w:pStyle w:val="Heading2"/>
      </w:pPr>
      <w:r>
        <w:t xml:space="preserve">Identity Registry</w:t>
      </w:r>
    </w:p>
    <w:p>
      <w:r>
        <w:rPr>
          <w:rFonts w:ascii="Courier New" w:cs="Courier New" w:eastAsia="Courier New" w:hAnsi="Courier New"/>
          <w:color w:val="C9A227"/>
          <w:sz w:val="20"/>
          <w:szCs w:val="20"/>
        </w:rPr>
        <w:t xml:space="preserve">0x67CFB9bFC401fdf4F15F38E821df55787fDe236f</w:t>
      </w:r>
    </w:p>
    <w:p>
      <w:pPr>
        <w:spacing w:after="200"/>
      </w:pPr>
      <w:r>
        <w:t xml:space="preserve">Authorized receivers and institutional credentials. Your node registered here.</w:t>
      </w:r>
    </w:p>
    <w:p>
      <w:pPr>
        <w:pStyle w:val="Heading2"/>
      </w:pPr>
      <w:r>
        <w:t xml:space="preserve">AEON Core Token</w:t>
      </w:r>
    </w:p>
    <w:p>
      <w:r>
        <w:rPr>
          <w:rFonts w:ascii="Courier New" w:cs="Courier New" w:eastAsia="Courier New" w:hAnsi="Courier New"/>
          <w:color w:val="C9A227"/>
          <w:sz w:val="20"/>
          <w:szCs w:val="20"/>
        </w:rPr>
        <w:t xml:space="preserve">0x600D6c7BFD61a245F33B9AEbc634A876E1caFDC0</w:t>
      </w:r>
    </w:p>
    <w:p>
      <w:pPr>
        <w:spacing w:after="200"/>
      </w:pPr>
      <w:r>
        <w:t xml:space="preserve">Settlement token with constitutional backing.</w:t>
      </w:r>
    </w:p>
    <w:p>
      <w:r>
        <w:br w:type="page"/>
      </w:r>
    </w:p>
    <w:p>
      <w:pPr>
        <w:pStyle w:val="Heading1"/>
      </w:pPr>
      <w:r>
        <w:t xml:space="preserve">Your Validation Process</w:t>
      </w:r>
    </w:p>
    <w:p>
      <w:pPr>
        <w:spacing w:after="200"/>
      </w:pPr>
      <w:r>
        <w:t xml:space="preserve">This is your entire "release procedure"—verification steps confirming funds are already liquid.</w:t>
      </w:r>
    </w:p>
    <w:p>
      <w:pPr>
        <w:pStyle w:val="Heading2"/>
      </w:pPr>
      <w:r>
        <w:t xml:space="preserve">Step 1: Receive Settlement Package</w:t>
      </w:r>
    </w:p>
    <w:p>
      <w:pPr>
        <w:spacing w:after="200"/>
      </w:pPr>
      <w:r>
        <w:t xml:space="preserve">Receive cryptographic package at your registered API endpoint containing Merkle UID and proof data.</w:t>
      </w:r>
    </w:p>
    <w:p>
      <w:pPr>
        <w:pStyle w:val="Heading2"/>
      </w:pPr>
      <w:r>
        <w:t xml:space="preserve">Step 2: Verify on Ethereum</w:t>
      </w:r>
    </w:p>
    <w:p>
      <w:pPr>
        <w:spacing w:after="200"/>
      </w:pPr>
      <w:r>
        <w:t xml:space="preserve">Check funds are locked in Treasury contract. Simple blockchain read—like checking Bitcoin.</w:t>
      </w:r>
    </w:p>
    <w:p>
      <w:pPr>
        <w:pStyle w:val="Heading2"/>
      </w:pPr>
      <w:r>
        <w:t xml:space="preserve">Step 3: Validate Four Pillars</w:t>
      </w:r>
    </w:p>
    <w:p>
      <w:pPr>
        <w:spacing w:after="200"/>
      </w:pPr>
      <w:r>
        <w:t xml:space="preserve">Run Merkle proof verification. All cryptographic—no manual review.</w:t>
      </w:r>
    </w:p>
    <w:p>
      <w:pPr>
        <w:pStyle w:val="Heading2"/>
      </w:pPr>
      <w:r>
        <w:t xml:space="preserve">Step 4: Acknowledge Receipt</w:t>
      </w:r>
    </w:p>
    <w:p>
      <w:pPr>
        <w:spacing w:after="200"/>
      </w:pPr>
      <w:r>
        <w:t xml:space="preserve">Send acknowledgment. Triggers fund movement through your designated rail.</w:t>
      </w:r>
    </w:p>
    <w:p>
      <w:pPr>
        <w:spacing w:before="300" w:after="200"/>
        <w:jc w:val="center"/>
      </w:pPr>
      <w:r>
        <w:rPr>
          <w:b/>
          <w:bCs/>
          <w:color w:val="C9A227"/>
          <w:sz w:val="28"/>
          <w:szCs w:val="28"/>
        </w:rPr>
        <w:t xml:space="preserve">Total: 4 API calls. Zero manual steps.</w:t>
      </w:r>
    </w:p>
    <w:p>
      <w:r>
        <w:br w:type="page"/>
      </w:r>
    </w:p>
    <w:p>
      <w:pPr>
        <w:pStyle w:val="Heading1"/>
      </w:pPr>
      <w:r>
        <w:t xml:space="preserve">Supported Settlement Rails</w:t>
      </w:r>
    </w:p>
    <w:p>
      <w:pPr>
        <w:pStyle w:val="Heading2"/>
      </w:pPr>
      <w:r>
        <w:t xml:space="preserve">Traditional Banking</w:t>
      </w:r>
    </w:p>
    <w:p>
      <w:pPr>
        <w:pStyle w:val="ListParagraph"/>
        <w:numPr>
          <w:ilvl w:val="0"/>
          <w:numId w:val="2"/>
        </w:numPr>
      </w:pPr>
      <w:r>
        <w:rPr>
          <w:b/>
          <w:bCs/>
        </w:rPr>
        <w:t xml:space="preserve">SWIFT MT103: </w:t>
      </w:r>
      <w:r>
        <w:t xml:space="preserve">International wires</w:t>
      </w:r>
    </w:p>
    <w:p>
      <w:pPr>
        <w:pStyle w:val="ListParagraph"/>
        <w:numPr>
          <w:ilvl w:val="0"/>
          <w:numId w:val="2"/>
        </w:numPr>
      </w:pPr>
      <w:r>
        <w:rPr>
          <w:b/>
          <w:bCs/>
        </w:rPr>
        <w:t xml:space="preserve">ACH (NACHA): </w:t>
      </w:r>
      <w:r>
        <w:t xml:space="preserve">US domestic</w:t>
      </w:r>
    </w:p>
    <w:p>
      <w:pPr>
        <w:pStyle w:val="ListParagraph"/>
        <w:numPr>
          <w:ilvl w:val="0"/>
          <w:numId w:val="2"/>
        </w:numPr>
      </w:pPr>
      <w:r>
        <w:rPr>
          <w:b/>
          <w:bCs/>
        </w:rPr>
        <w:t xml:space="preserve">ISO 20022: </w:t>
      </w:r>
      <w:r>
        <w:t xml:space="preserve">Modern messaging</w:t>
      </w:r>
    </w:p>
    <w:p>
      <w:pPr>
        <w:pStyle w:val="Heading2"/>
      </w:pPr>
      <w:r>
        <w:t xml:space="preserve">Cryptocurrency</w:t>
      </w:r>
    </w:p>
    <w:p>
      <w:pPr>
        <w:pStyle w:val="ListParagraph"/>
        <w:numPr>
          <w:ilvl w:val="0"/>
          <w:numId w:val="2"/>
        </w:numPr>
      </w:pPr>
      <w:r>
        <w:rPr>
          <w:b/>
          <w:bCs/>
        </w:rPr>
        <w:t xml:space="preserve">Ethereum (ETH): </w:t>
      </w:r>
      <w:r>
        <w:t xml:space="preserve">Native transfers</w:t>
      </w:r>
    </w:p>
    <w:p>
      <w:pPr>
        <w:pStyle w:val="ListParagraph"/>
        <w:numPr>
          <w:ilvl w:val="0"/>
          <w:numId w:val="2"/>
        </w:numPr>
      </w:pPr>
      <w:r>
        <w:rPr>
          <w:b/>
          <w:bCs/>
        </w:rPr>
        <w:t xml:space="preserve">USDT (Tether): </w:t>
      </w:r>
      <w:r>
        <w:t xml:space="preserve">ERC-20 and TRC-20</w:t>
      </w:r>
    </w:p>
    <w:p>
      <w:pPr>
        <w:pStyle w:val="ListParagraph"/>
        <w:numPr>
          <w:ilvl w:val="0"/>
          <w:numId w:val="2"/>
        </w:numPr>
      </w:pPr>
      <w:r>
        <w:rPr>
          <w:b/>
          <w:bCs/>
        </w:rPr>
        <w:t xml:space="preserve">USDC (Circle): </w:t>
      </w:r>
      <w:r>
        <w:t xml:space="preserve">ERC-20 stablecoin</w:t>
      </w:r>
    </w:p>
    <w:p>
      <w:pPr>
        <w:pStyle w:val="ListParagraph"/>
        <w:numPr>
          <w:ilvl w:val="0"/>
          <w:numId w:val="2"/>
        </w:numPr>
      </w:pPr>
      <w:r>
        <w:rPr>
          <w:b/>
          <w:bCs/>
        </w:rPr>
        <w:t xml:space="preserve">Bitcoin: </w:t>
      </w:r>
      <w:r>
        <w:t xml:space="preserve">Native BTC</w:t>
      </w:r>
    </w:p>
    <w:p>
      <w:pPr>
        <w:pStyle w:val="Heading2"/>
      </w:pPr>
      <w:r>
        <w:t xml:space="preserve">SWIFT-Crypto Bridge</w:t>
      </w:r>
    </w:p>
    <w:p>
      <w:pPr>
        <w:spacing w:after="200"/>
      </w:pPr>
      <w:r>
        <w:t xml:space="preserve">For institutions with bridge infrastructure, FLAME delivers via SWIFT with automatic crypto redirection.</w:t>
      </w:r>
    </w:p>
    <w:p>
      <w:r>
        <w:br w:type="page"/>
      </w:r>
    </w:p>
    <w:p>
      <w:pPr>
        <w:pStyle w:val="Heading1"/>
      </w:pPr>
      <w:r>
        <w:t xml:space="preserve">Getting Started</w:t>
      </w:r>
    </w:p>
    <w:p>
      <w:pPr>
        <w:pStyle w:val="Heading2"/>
      </w:pPr>
      <w:r>
        <w:t xml:space="preserve">Registration Requirements</w:t>
      </w:r>
    </w:p>
    <w:p>
      <w:pPr>
        <w:pStyle w:val="ListParagraph"/>
        <w:numPr>
          <w:ilvl w:val="0"/>
          <w:numId w:val="5"/>
        </w:numPr>
      </w:pPr>
      <w:r>
        <w:rPr>
          <w:b/>
          <w:bCs/>
        </w:rPr>
        <w:t xml:space="preserve">API Endpoint or IP Node Address </w:t>
      </w:r>
    </w:p>
    <w:p>
      <w:pPr>
        <w:pStyle w:val="ListParagraph"/>
        <w:numPr>
          <w:ilvl w:val="0"/>
          <w:numId w:val="5"/>
        </w:numPr>
      </w:pPr>
      <w:r>
        <w:rPr>
          <w:b/>
          <w:bCs/>
        </w:rPr>
        <w:t xml:space="preserve">Banking Details </w:t>
      </w:r>
      <w:r>
        <w:t xml:space="preserve">(routing, account, SWIFT/BIC)</w:t>
      </w:r>
    </w:p>
    <w:p>
      <w:pPr>
        <w:pStyle w:val="ListParagraph"/>
        <w:numPr>
          <w:ilvl w:val="0"/>
          <w:numId w:val="5"/>
        </w:numPr>
      </w:pPr>
      <w:r>
        <w:rPr>
          <w:b/>
          <w:bCs/>
        </w:rPr>
        <w:t xml:space="preserve">Crypto Addresses </w:t>
      </w:r>
      <w:r>
        <w:t xml:space="preserve">(optional)</w:t>
      </w:r>
    </w:p>
    <w:p>
      <w:pPr>
        <w:pStyle w:val="ListParagraph"/>
        <w:numPr>
          <w:ilvl w:val="0"/>
          <w:numId w:val="5"/>
        </w:numPr>
      </w:pPr>
      <w:r>
        <w:rPr>
          <w:b/>
          <w:bCs/>
        </w:rPr>
        <w:t xml:space="preserve">Preferred Settlement Rail</w:t>
      </w:r>
    </w:p>
    <w:p>
      <w:pPr>
        <w:pStyle w:val="Heading2"/>
      </w:pPr>
      <w:r>
        <w:t xml:space="preserve">Contact</w:t>
      </w:r>
    </w:p>
    <w:p>
      <w:pPr>
        <w:spacing w:after="100"/>
      </w:pPr>
      <w:r>
        <w:rPr>
          <w:b/>
          <w:bCs/>
        </w:rPr>
        <w:t xml:space="preserve">Email: </w:t>
      </w:r>
      <w:r>
        <w:t xml:space="preserve">yolewis@c-yess.org</w:t>
      </w:r>
    </w:p>
    <w:p>
      <w:pPr>
        <w:spacing w:after="100"/>
      </w:pPr>
      <w:r>
        <w:rPr>
          <w:b/>
          <w:bCs/>
        </w:rPr>
        <w:t xml:space="preserve">Portal: </w:t>
      </w:r>
      <w:r>
        <w:t xml:space="preserve">https://flame.protocol</w:t>
      </w:r>
    </w:p>
    <w:p>
      <w:pPr>
        <w:spacing w:after="200"/>
      </w:pPr>
      <w:r>
        <w:rPr>
          <w:b/>
          <w:bCs/>
        </w:rPr>
        <w:t xml:space="preserve">Response: </w:t>
      </w:r>
      <w:r>
        <w:t xml:space="preserve">Within 24 hours</w:t>
      </w:r>
    </w:p>
    <w:p>
      <w:r>
        <w:br w:type="page"/>
      </w:r>
    </w:p>
    <w:p>
      <w:pPr>
        <w:pStyle w:val="Heading1"/>
      </w:pPr>
      <w:r>
        <w:t xml:space="preserve">Conclusion</w:t>
      </w:r>
    </w:p>
    <w:p>
      <w:pPr>
        <w:spacing w:after="200"/>
      </w:pPr>
      <w:r>
        <w:t xml:space="preserve">FLAME Protocol eliminates confusion between verification and release. In cryptocurrency, this distinction doesn't exist—verify a Bitcoin transaction and the funds are yours.</w:t>
      </w:r>
    </w:p>
    <w:p>
      <w:pPr>
        <w:spacing w:after="200"/>
      </w:pPr>
      <w:r>
        <w:t xml:space="preserve">We bring this model to traditional banking. Funds are locked in Treasury before transmission. When you verify the Merkle proof, you confirm settlement has occurred. No release procedures. No pending states.</w:t>
      </w:r>
    </w:p>
    <w:p>
      <w:pPr>
        <w:spacing w:before="200" w:after="200"/>
        <w:jc w:val="center"/>
      </w:pPr>
      <w:r>
        <w:rPr>
          <w:b/>
          <w:bCs/>
          <w:i/>
          <w:iCs/>
          <w:color w:val="C9A227"/>
          <w:sz w:val="28"/>
          <w:szCs w:val="28"/>
        </w:rPr>
        <w:t xml:space="preserve">Same inputs. Same outputs. Every time. Forever.</w:t>
      </w:r>
    </w:p>
    <w:p>
      <w:pPr>
        <w:spacing w:after="200"/>
        <w:jc w:val="center"/>
      </w:pPr>
      <w:r>
        <w:t xml:space="preserve">Welcome to deterministic settlement infrastructure.</w:t>
      </w:r>
    </w:p>
    <w:p>
      <w:pPr>
        <w:spacing w:before="400"/>
      </w:pPr>
      <w:r>
        <w:rPr>
          <w:color w:val="CCCCCC"/>
        </w:rPr>
        <w:t xml:space="preserve">━━━━━━━━━━━━━━━━━━━━━━━━━━━━━━</w:t>
      </w:r>
    </w:p>
    <w:p>
      <w:pPr>
        <w:spacing w:before="200"/>
      </w:pPr>
      <w:r>
        <w:rPr>
          <w:b/>
          <w:bCs/>
          <w:color w:val="0A1628"/>
        </w:rPr>
        <w:t xml:space="preserve">Autochthon Kingdom Decentralized Sovereign Trust</w:t>
      </w:r>
    </w:p>
    <w:p>
      <w:r>
        <w:rPr>
          <w:i/>
          <w:iCs/>
          <w:color w:val="C9A227"/>
        </w:rPr>
        <w:t xml:space="preserve">Successor Treaty with the Delawares 1778</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CONFIDENTIAL — Autochthon Kingdom — 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FLAME Protocol White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Georgia" w:cs="Georgia" w:eastAsia="Georgia" w:hAnsi="Georgia"/>
      <w:b/>
      <w:bCs/>
      <w:color w:val="0A1628"/>
      <w:sz w:val="56"/>
      <w:szCs w:val="56"/>
    </w:rPr>
  </w:style>
  <w:style w:type="paragraph" w:styleId="Heading1">
    <w:name w:val="Heading 1"/>
    <w:basedOn w:val="Normal"/>
    <w:next w:val="Normal"/>
    <w:qFormat/>
    <w:pPr>
      <w:spacing w:before="400" w:after="200"/>
      <w:outlineLvl w:val="0"/>
    </w:pPr>
    <w:rPr>
      <w:rFonts w:ascii="Georgia" w:cs="Georgia" w:eastAsia="Georgia" w:hAnsi="Georgia"/>
      <w:b/>
      <w:bCs/>
      <w:color w:val="0A1628"/>
      <w:sz w:val="36"/>
      <w:szCs w:val="36"/>
    </w:rPr>
  </w:style>
  <w:style w:type="paragraph" w:styleId="Heading2">
    <w:name w:val="Heading 2"/>
    <w:basedOn w:val="Normal"/>
    <w:next w:val="Normal"/>
    <w:qFormat/>
    <w:pPr>
      <w:spacing w:before="300" w:after="150"/>
      <w:outlineLvl w:val="1"/>
    </w:pPr>
    <w:rPr>
      <w:rFonts w:ascii="Georgia" w:cs="Georgia" w:eastAsia="Georgia" w:hAnsi="Georgia"/>
      <w:b/>
      <w:bCs/>
      <w:color w:val="C9A22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2025-12-07T21:40:18.097Z</dcterms:created>
  <dcterms:modified xsi:type="dcterms:W3CDTF">2025-12-07T21:40:18.097Z</dcterms:modified>
</cp:coreProperties>
</file>

<file path=docProps/custom.xml><?xml version="1.0" encoding="utf-8"?>
<Properties xmlns="http://schemas.openxmlformats.org/officeDocument/2006/custom-properties" xmlns:vt="http://schemas.openxmlformats.org/officeDocument/2006/docPropsVTypes"/>
</file>