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pStyle w:val="Title"/>
      </w:pPr>
      <w:r>
        <w:t xml:space="preserve">HOW TO USE YOUR MG</w:t>
      </w:r>
    </w:p>
    <w:p>
      <w:pPr>
        <w:spacing w:before="200"/>
      </w:pPr>
    </w:p>
    <w:p>
      <w:pPr>
        <w:jc w:val="center"/>
      </w:pPr>
      <w:r>
        <w:rPr>
          <w:i/>
          <w:iCs/>
          <w:color w:val="666666"/>
          <w:sz w:val="32"/>
          <w:szCs w:val="32"/>
        </w:rPr>
        <w:t xml:space="preserve">A Practical Guide for Banks</w:t>
      </w:r>
    </w:p>
    <w:p>
      <w:pPr>
        <w:spacing w:before="600"/>
      </w:pPr>
    </w:p>
    <w:p>
      <w:pPr>
        <w:jc w:val="center"/>
      </w:pPr>
      <w:r>
        <w:rPr>
          <w:b/>
          <w:bCs/>
          <w:sz w:val="28"/>
          <w:szCs w:val="28"/>
        </w:rPr>
        <w:t xml:space="preserve">You Have a Reserve Asset.</w:t>
      </w:r>
    </w:p>
    <w:p>
      <w:pPr>
        <w:jc w:val="center"/>
      </w:pPr>
      <w:r>
        <w:rPr>
          <w:b/>
          <w:bCs/>
          <w:sz w:val="28"/>
          <w:szCs w:val="28"/>
        </w:rPr>
        <w:t xml:space="preserve">You Have Access to Real-Time Fiat Settlement Rails.</w:t>
      </w:r>
    </w:p>
    <w:p>
      <w:pPr>
        <w:jc w:val="center"/>
      </w:pPr>
      <w:r>
        <w:rPr>
          <w:b/>
          <w:bCs/>
          <w:sz w:val="28"/>
          <w:szCs w:val="28"/>
        </w:rPr>
        <w:t xml:space="preserve">Here's Exactly How to Use Them.</w:t>
      </w:r>
    </w:p>
    <w:p>
      <w:pPr>
        <w:spacing w:before="800"/>
      </w:pPr>
    </w:p>
    <w:p>
      <w:pPr>
        <w:jc w:val="center"/>
      </w:pPr>
      <w:r>
        <w:rPr>
          <w:b/>
          <w:bCs/>
          <w:color w:val="B8960C"/>
          <w:sz w:val="32"/>
          <w:szCs w:val="32"/>
        </w:rPr>
        <w:t xml:space="preserve">FLAME Protocol</w:t>
      </w:r>
    </w:p>
    <w:p>
      <w:pPr>
        <w:jc w:val="center"/>
      </w:pPr>
      <w:r>
        <w:rPr>
          <w:color w:val="666666"/>
          <w:sz w:val="22"/>
          <w:szCs w:val="22"/>
        </w:rPr>
        <w:t xml:space="preserve">Formal Ledger for Atomic &amp; Mandatory Execution</w:t>
      </w:r>
    </w:p>
    <w:p>
      <w:pPr>
        <w:spacing w:before="400"/>
      </w:pPr>
    </w:p>
    <w:p>
      <w:pPr>
        <w:jc w:val="center"/>
      </w:pPr>
      <w:r>
        <w:rPr>
          <w:color w:val="666666"/>
          <w:sz w:val="22"/>
          <w:szCs w:val="22"/>
        </w:rPr>
        <w:t xml:space="preserve">2025-12-09</w:t>
      </w:r>
    </w:p>
    <w:p>
      <w:r>
        <w:br w:type="page"/>
      </w:r>
    </w:p>
    <w:p>
      <w:pPr>
        <w:pStyle w:val="Heading1"/>
      </w:pPr>
      <w:r>
        <w:t xml:space="preserve">What You Have Right Now</w:t>
      </w:r>
    </w:p>
    <w:p>
      <w:r>
        <w:t xml:space="preserve">You have been funded with </w:t>
      </w:r>
      <w:r>
        <w:rPr>
          <w:b/>
          <w:bCs/>
        </w:rPr>
        <w:t xml:space="preserve">Mathematical Gold (MG)</w:t>
      </w:r>
      <w:r>
        <w:t xml:space="preserve">—a reserve currency asset sitting in your dedicated wallet on Ethereum mainnet. This is NOT a 'crypto token waiting to become money.' This IS money.</w:t>
      </w:r>
    </w:p>
    <w:p>
      <w:pPr>
        <w:spacing w:before="200"/>
      </w:pPr>
      <w:r>
        <w:rPr>
          <w:b/>
          <w:bCs/>
        </w:rPr>
        <w:t xml:space="preserve">Your assets: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263B" w:val="clear"/>
          </w:tcPr>
          <w:p>
            <w:pPr>
              <w:jc w:val="center"/>
            </w:pPr>
            <w:r>
              <w:rPr>
                <w:b/>
                <w:bCs/>
                <w:color w:val="FFFFFF"/>
              </w:rPr>
              <w:t xml:space="preserve">Component</w:t>
            </w:r>
          </w:p>
        </w:tc>
        <w:tc>
          <w:tcPr>
            <w:tcW w:type="dxa" w:w="6240"/>
            <w:tcBorders>
              <w:top w:val="single" w:color="CCCCCC" w:sz="1"/>
              <w:left w:val="single" w:color="CCCCCC" w:sz="1"/>
              <w:bottom w:val="single" w:color="CCCCCC" w:sz="1"/>
              <w:right w:val="single" w:color="CCCCCC" w:sz="1"/>
            </w:tcBorders>
            <w:shd w:fill="1B263B" w:val="clear"/>
          </w:tcPr>
          <w:p>
            <w:pPr>
              <w:jc w:val="center"/>
            </w:pPr>
            <w:r>
              <w:rPr>
                <w:b/>
                <w:bCs/>
                <w:color w:val="FFFFFF"/>
              </w:rPr>
              <w:t xml:space="preserve">What It Means</w:t>
            </w:r>
          </w:p>
        </w:tc>
      </w:tr>
      <w:tr>
        <w:tc>
          <w:tcPr>
            <w:tcW w:type="dxa" w:w="3120"/>
            <w:tcBorders>
              <w:top w:val="single" w:color="CCCCCC" w:sz="1"/>
              <w:left w:val="single" w:color="CCCCCC" w:sz="1"/>
              <w:bottom w:val="single" w:color="CCCCCC" w:sz="1"/>
              <w:right w:val="single" w:color="CCCCCC" w:sz="1"/>
            </w:tcBorders>
          </w:tcPr>
          <w:p>
            <w:r>
              <w:rPr>
                <w:b/>
                <w:bCs/>
              </w:rPr>
              <w:t xml:space="preserve">MG Balance</w:t>
            </w:r>
          </w:p>
        </w:tc>
        <w:tc>
          <w:tcPr>
            <w:tcW w:type="dxa" w:w="6240"/>
            <w:tcBorders>
              <w:top w:val="single" w:color="CCCCCC" w:sz="1"/>
              <w:left w:val="single" w:color="CCCCCC" w:sz="1"/>
              <w:bottom w:val="single" w:color="CCCCCC" w:sz="1"/>
              <w:right w:val="single" w:color="CCCCCC" w:sz="1"/>
            </w:tcBorders>
          </w:tcPr>
          <w:p>
            <w:r>
              <w:t xml:space="preserve">Reserve currency in your wallet, verifiable on Etherscan 24/7</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FLAME Bridge Access</w:t>
            </w:r>
          </w:p>
        </w:tc>
        <w:tc>
          <w:tcPr>
            <w:tcW w:type="dxa" w:w="6240"/>
            <w:tcBorders>
              <w:top w:val="single" w:color="CCCCCC" w:sz="1"/>
              <w:left w:val="single" w:color="CCCCCC" w:sz="1"/>
              <w:bottom w:val="single" w:color="CCCCCC" w:sz="1"/>
              <w:right w:val="single" w:color="CCCCCC" w:sz="1"/>
            </w:tcBorders>
            <w:shd w:fill="F5F5F5" w:val="clear"/>
          </w:tcPr>
          <w:p>
            <w:r>
              <w:t xml:space="preserve">Real-time fiat settlement rails—convert MG to USD/USDT instantly</w:t>
            </w:r>
          </w:p>
        </w:tc>
      </w:tr>
      <w:tr>
        <w:tc>
          <w:tcPr>
            <w:tcW w:type="dxa" w:w="3120"/>
            <w:tcBorders>
              <w:top w:val="single" w:color="CCCCCC" w:sz="1"/>
              <w:left w:val="single" w:color="CCCCCC" w:sz="1"/>
              <w:bottom w:val="single" w:color="CCCCCC" w:sz="1"/>
              <w:right w:val="single" w:color="CCCCCC" w:sz="1"/>
            </w:tcBorders>
          </w:tcPr>
          <w:p>
            <w:r>
              <w:rPr>
                <w:b/>
                <w:bCs/>
              </w:rPr>
              <w:t xml:space="preserve">API Credentials</w:t>
            </w:r>
          </w:p>
        </w:tc>
        <w:tc>
          <w:tcPr>
            <w:tcW w:type="dxa" w:w="6240"/>
            <w:tcBorders>
              <w:top w:val="single" w:color="CCCCCC" w:sz="1"/>
              <w:left w:val="single" w:color="CCCCCC" w:sz="1"/>
              <w:bottom w:val="single" w:color="CCCCCC" w:sz="1"/>
              <w:right w:val="single" w:color="CCCCCC" w:sz="1"/>
            </w:tcBorders>
          </w:tcPr>
          <w:p>
            <w:r>
              <w:t xml:space="preserve">Programmatic access to transfer, settle, and bridge MG</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Treasury Support</w:t>
            </w:r>
          </w:p>
        </w:tc>
        <w:tc>
          <w:tcPr>
            <w:tcW w:type="dxa" w:w="6240"/>
            <w:tcBorders>
              <w:top w:val="single" w:color="CCCCCC" w:sz="1"/>
              <w:left w:val="single" w:color="CCCCCC" w:sz="1"/>
              <w:bottom w:val="single" w:color="CCCCCC" w:sz="1"/>
              <w:right w:val="single" w:color="CCCCCC" w:sz="1"/>
            </w:tcBorders>
            <w:shd w:fill="F5F5F5" w:val="clear"/>
          </w:tcPr>
          <w:p>
            <w:r>
              <w:t xml:space="preserve">Direct line to FLAME Treasury for large settlements</w:t>
            </w:r>
          </w:p>
        </w:tc>
      </w:tr>
    </w:tbl>
    <w:p>
      <w:pPr>
        <w:spacing w:before="300"/>
      </w:pPr>
      <w:r>
        <w:rPr>
          <w:b/>
          <w:bCs/>
        </w:rPr>
        <w:t xml:space="preserve">Key Point: </w:t>
      </w:r>
      <w:r>
        <w:t xml:space="preserve">You don't need to 'monetize' MG. You need to understand that you already have money AND you have access to rails that let you convert it to fiat whenever you need to.</w:t>
      </w:r>
    </w:p>
    <w:p>
      <w:r>
        <w:br w:type="page"/>
      </w:r>
    </w:p>
    <w:p>
      <w:pPr>
        <w:pStyle w:val="Heading1"/>
      </w:pPr>
      <w:r>
        <w:t xml:space="preserve">Three Ways to Use Your MG</w:t>
      </w:r>
    </w:p>
    <w:p>
      <w:pPr>
        <w:pStyle w:val="Heading2"/>
      </w:pPr>
      <w:r>
        <w:t xml:space="preserve">Option 1: Hold as Reserve Asset</w:t>
      </w:r>
    </w:p>
    <w:p>
      <w:r>
        <w:rPr>
          <w:b/>
          <w:bCs/>
        </w:rPr>
        <w:t xml:space="preserve">Best for: </w:t>
      </w:r>
      <w:r>
        <w:t xml:space="preserve">Balance sheet optimization, regulatory capital, collateral</w:t>
      </w:r>
    </w:p>
    <w:p>
      <w:pPr>
        <w:spacing w:before="150"/>
      </w:pPr>
      <w:r>
        <w:t xml:space="preserve">MG qualifies as a gold-equivalent reserve asset under Basel III (0% risk weight). Holding MG:</w:t>
      </w:r>
    </w:p>
    <w:p>
      <w:pPr>
        <w:pStyle w:val="ListParagraph"/>
        <w:numPr>
          <w:ilvl w:val="0"/>
          <w:numId w:val="2"/>
        </w:numPr>
      </w:pPr>
      <w:r>
        <w:t xml:space="preserve">Improves your capital ratios without consuming capital</w:t>
      </w:r>
    </w:p>
    <w:p>
      <w:pPr>
        <w:pStyle w:val="ListParagraph"/>
        <w:numPr>
          <w:ilvl w:val="0"/>
          <w:numId w:val="2"/>
        </w:numPr>
      </w:pPr>
      <w:r>
        <w:t xml:space="preserve">Provides verifiable proof of reserves (Etherscan, not auditor letters)</w:t>
      </w:r>
    </w:p>
    <w:p>
      <w:pPr>
        <w:pStyle w:val="ListParagraph"/>
        <w:numPr>
          <w:ilvl w:val="0"/>
          <w:numId w:val="2"/>
        </w:numPr>
      </w:pPr>
      <w:r>
        <w:t xml:space="preserve">Can be used as collateral for lending facilities</w:t>
      </w:r>
    </w:p>
    <w:p>
      <w:pPr>
        <w:pStyle w:val="ListParagraph"/>
        <w:numPr>
          <w:ilvl w:val="0"/>
          <w:numId w:val="2"/>
        </w:numPr>
      </w:pPr>
      <w:r>
        <w:t xml:space="preserve">Appreciates if MG market value increases</w:t>
      </w:r>
    </w:p>
    <w:p>
      <w:pPr>
        <w:spacing w:before="150"/>
      </w:pPr>
      <w:r>
        <w:rPr>
          <w:b/>
          <w:bCs/>
        </w:rPr>
        <w:t xml:space="preserve">Action Required: </w:t>
      </w:r>
      <w:r>
        <w:t xml:space="preserve">None. Your MG sits in your wallet. Verify balance anytime at Etherscan.</w:t>
      </w:r>
    </w:p>
    <w:p>
      <w:pPr>
        <w:pStyle w:val="Heading2"/>
      </w:pPr>
      <w:r>
        <w:t xml:space="preserve">Option 2: Transfer MG Directly (Peer-to-Peer)</w:t>
      </w:r>
    </w:p>
    <w:p>
      <w:r>
        <w:rPr>
          <w:b/>
          <w:bCs/>
        </w:rPr>
        <w:t xml:space="preserve">Best for: </w:t>
      </w:r>
      <w:r>
        <w:t xml:space="preserve">Settling obligations with counterparties who accept MG</w:t>
      </w:r>
    </w:p>
    <w:p>
      <w:pPr>
        <w:spacing w:before="150"/>
      </w:pPr>
      <w:r>
        <w:t xml:space="preserve">When your counterparty has an MG-compatible wallet, you can transfer directly:</w:t>
      </w:r>
    </w:p>
    <w:p>
      <w:pPr>
        <w:pStyle w:val="ListParagraph"/>
        <w:numPr>
          <w:ilvl w:val="0"/>
          <w:numId w:val="3"/>
        </w:numPr>
      </w:pPr>
      <w:r>
        <w:t xml:space="preserve">Obtain recipient's Ethereum wallet address</w:t>
      </w:r>
    </w:p>
    <w:p>
      <w:pPr>
        <w:pStyle w:val="ListParagraph"/>
        <w:numPr>
          <w:ilvl w:val="0"/>
          <w:numId w:val="3"/>
        </w:numPr>
      </w:pPr>
      <w:r>
        <w:t xml:space="preserve">Initiate transfer via API or Safe{Wallet} interface</w:t>
      </w:r>
    </w:p>
    <w:p>
      <w:pPr>
        <w:pStyle w:val="ListParagraph"/>
        <w:numPr>
          <w:ilvl w:val="0"/>
          <w:numId w:val="3"/>
        </w:numPr>
      </w:pPr>
      <w:r>
        <w:t xml:space="preserve">Sign transaction with your authorized signers</w:t>
      </w:r>
    </w:p>
    <w:p>
      <w:pPr>
        <w:pStyle w:val="ListParagraph"/>
        <w:numPr>
          <w:ilvl w:val="0"/>
          <w:numId w:val="3"/>
        </w:numPr>
      </w:pPr>
      <w:r>
        <w:t xml:space="preserve">Settlement complete in ~12 seconds</w:t>
      </w:r>
    </w:p>
    <w:p>
      <w:pPr>
        <w:spacing w:before="150"/>
      </w:pPr>
      <w:r>
        <w:rPr>
          <w:b/>
          <w:bCs/>
        </w:rPr>
        <w:t xml:space="preserve">Cost: </w:t>
      </w:r>
      <w:r>
        <w:t xml:space="preserve">~$2-10 in Ethereum gas fees. No correspondent bank fees, no SWIFT fees, no FX spread.</w:t>
      </w:r>
    </w:p>
    <w:p>
      <w:pPr>
        <w:spacing w:before="100"/>
      </w:pPr>
      <w:r>
        <w:rPr>
          <w:b/>
          <w:bCs/>
        </w:rPr>
        <w:t xml:space="preserve">Settlement Time: </w:t>
      </w:r>
      <w:r>
        <w:t xml:space="preserve">12 seconds (vs. 1-5 days for SWIFT)</w:t>
      </w:r>
    </w:p>
    <w:p>
      <w:pPr>
        <w:pStyle w:val="Heading2"/>
      </w:pPr>
      <w:r>
        <w:t xml:space="preserve">Option 3: Convert to Fiat via FLAME Bridge</w:t>
      </w:r>
    </w:p>
    <w:p>
      <w:r>
        <w:rPr>
          <w:b/>
          <w:bCs/>
        </w:rPr>
        <w:t xml:space="preserve">Best for: </w:t>
      </w:r>
      <w:r>
        <w:t xml:space="preserve">When you need USD, EUR, or stablecoin (USDT/USDC) liquidity</w:t>
      </w:r>
    </w:p>
    <w:p>
      <w:pPr>
        <w:spacing w:before="150"/>
      </w:pPr>
      <w:r>
        <w:rPr>
          <w:b/>
          <w:bCs/>
          <w:color w:val="B8960C"/>
        </w:rPr>
        <w:t xml:space="preserve">THIS IS YOUR FIAT RAIL. </w:t>
      </w:r>
      <w:r>
        <w:t xml:space="preserve">The FLAME Bridge provides real-time conversion from MG to fiat currencies. You are not 'stuck' with MG—you have instant access to traditional money whenever you need it.</w:t>
      </w:r>
    </w:p>
    <w:p>
      <w:r>
        <w:br w:type="page"/>
      </w:r>
    </w:p>
    <w:p>
      <w:pPr>
        <w:pStyle w:val="Heading1"/>
      </w:pPr>
      <w:r>
        <w:t xml:space="preserve">The FLAME Bridge: Your Fiat Settlement Rails</w:t>
      </w:r>
    </w:p>
    <w:p>
      <w:pPr>
        <w:pStyle w:val="Heading2"/>
      </w:pPr>
      <w:r>
        <w:t xml:space="preserve">How It Works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263B" w:val="clear"/>
          </w:tcPr>
          <w:p>
            <w:pPr>
              <w:jc w:val="center"/>
            </w:pPr>
            <w:r>
              <w:rPr>
                <w:b/>
                <w:bCs/>
                <w:color w:val="FFFFFF"/>
                <w:sz w:val="20"/>
                <w:szCs w:val="20"/>
              </w:rPr>
              <w:t xml:space="preserve">Step 1</w:t>
            </w:r>
          </w:p>
        </w:tc>
        <w:tc>
          <w:tcPr>
            <w:tcW w:type="dxa" w:w="1560"/>
            <w:tcBorders>
              <w:top w:val="single" w:color="CCCCCC" w:sz="1"/>
              <w:left w:val="single" w:color="CCCCCC" w:sz="1"/>
              <w:bottom w:val="single" w:color="CCCCCC" w:sz="1"/>
              <w:right w:val="single" w:color="CCCCCC" w:sz="1"/>
            </w:tcBorders>
          </w:tcPr>
          <w:p>
            <w:pPr>
              <w:jc w:val="center"/>
            </w:pPr>
            <w:r>
              <w:rPr>
                <w:sz w:val="28"/>
                <w:szCs w:val="28"/>
              </w:rPr>
              <w:t xml:space="preserve">→</w:t>
            </w:r>
          </w:p>
        </w:tc>
        <w:tc>
          <w:tcPr>
            <w:tcW w:type="dxa" w:w="1560"/>
            <w:tcBorders>
              <w:top w:val="single" w:color="CCCCCC" w:sz="1"/>
              <w:left w:val="single" w:color="CCCCCC" w:sz="1"/>
              <w:bottom w:val="single" w:color="CCCCCC" w:sz="1"/>
              <w:right w:val="single" w:color="CCCCCC" w:sz="1"/>
            </w:tcBorders>
            <w:shd w:fill="1B263B" w:val="clear"/>
          </w:tcPr>
          <w:p>
            <w:pPr>
              <w:jc w:val="center"/>
            </w:pPr>
            <w:r>
              <w:rPr>
                <w:b/>
                <w:bCs/>
                <w:color w:val="FFFFFF"/>
                <w:sz w:val="20"/>
                <w:szCs w:val="20"/>
              </w:rPr>
              <w:t xml:space="preserve">Step 2</w:t>
            </w:r>
          </w:p>
        </w:tc>
        <w:tc>
          <w:tcPr>
            <w:tcW w:type="dxa" w:w="1560"/>
            <w:tcBorders>
              <w:top w:val="single" w:color="CCCCCC" w:sz="1"/>
              <w:left w:val="single" w:color="CCCCCC" w:sz="1"/>
              <w:bottom w:val="single" w:color="CCCCCC" w:sz="1"/>
              <w:right w:val="single" w:color="CCCCCC" w:sz="1"/>
            </w:tcBorders>
          </w:tcPr>
          <w:p>
            <w:pPr>
              <w:jc w:val="center"/>
            </w:pPr>
            <w:r>
              <w:rPr>
                <w:sz w:val="28"/>
                <w:szCs w:val="28"/>
              </w:rPr>
              <w:t xml:space="preserve">→</w:t>
            </w:r>
          </w:p>
        </w:tc>
        <w:tc>
          <w:tcPr>
            <w:tcW w:type="dxa" w:w="1560"/>
            <w:tcBorders>
              <w:top w:val="single" w:color="CCCCCC" w:sz="1"/>
              <w:left w:val="single" w:color="CCCCCC" w:sz="1"/>
              <w:bottom w:val="single" w:color="CCCCCC" w:sz="1"/>
              <w:right w:val="single" w:color="CCCCCC" w:sz="1"/>
            </w:tcBorders>
            <w:shd w:fill="1B263B" w:val="clear"/>
          </w:tcPr>
          <w:p>
            <w:pPr>
              <w:jc w:val="center"/>
            </w:pPr>
            <w:r>
              <w:rPr>
                <w:b/>
                <w:bCs/>
                <w:color w:val="FFFFFF"/>
                <w:sz w:val="20"/>
                <w:szCs w:val="20"/>
              </w:rPr>
              <w:t xml:space="preserve">Step 3</w:t>
            </w:r>
          </w:p>
        </w:tc>
        <w:tc>
          <w:tcPr>
            <w:tcW w:type="dxa" w:w="1560"/>
            <w:tcBorders>
              <w:top w:val="single" w:color="CCCCCC" w:sz="1"/>
              <w:left w:val="single" w:color="CCCCCC" w:sz="1"/>
              <w:bottom w:val="single" w:color="CCCCCC" w:sz="1"/>
              <w:right w:val="single" w:color="CCCCCC" w:sz="1"/>
            </w:tcBorders>
          </w:tcPr>
          <w:p>
            <w:pPr>
              <w:jc w:val="center"/>
            </w:pPr>
            <w:r>
              <w:rPr>
                <w:sz w:val="28"/>
                <w:szCs w:val="28"/>
              </w:rPr>
              <w:t xml:space="preserve">→</w:t>
            </w:r>
          </w:p>
        </w:tc>
      </w:tr>
      <w:tr>
        <w:tc>
          <w:tcPr>
            <w:tcW w:type="dxa" w:w="1560"/>
            <w:tcBorders>
              <w:top w:val="single" w:color="CCCCCC" w:sz="1"/>
              <w:left w:val="single" w:color="CCCCCC" w:sz="1"/>
              <w:bottom w:val="single" w:color="CCCCCC" w:sz="1"/>
              <w:right w:val="single" w:color="CCCCCC" w:sz="1"/>
            </w:tcBorders>
            <w:shd w:fill="B8960C" w:val="clear"/>
          </w:tcPr>
          <w:p>
            <w:pPr>
              <w:jc w:val="center"/>
            </w:pPr>
            <w:r>
              <w:rPr>
                <w:b/>
                <w:bCs/>
                <w:color w:val="FFFFFF"/>
                <w:sz w:val="20"/>
                <w:szCs w:val="20"/>
              </w:rPr>
              <w:t xml:space="preserve">You Send MG</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Bridge Locks MG</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
            </w:r>
          </w:p>
        </w:tc>
        <w:tc>
          <w:tcPr>
            <w:tcW w:type="dxa" w:w="1560"/>
            <w:tcBorders>
              <w:top w:val="single" w:color="CCCCCC" w:sz="1"/>
              <w:left w:val="single" w:color="CCCCCC" w:sz="1"/>
              <w:bottom w:val="single" w:color="CCCCCC" w:sz="1"/>
              <w:right w:val="single" w:color="CCCCCC" w:sz="1"/>
            </w:tcBorders>
            <w:shd w:fill="2E7D32" w:val="clear"/>
          </w:tcPr>
          <w:p>
            <w:pPr>
              <w:jc w:val="center"/>
            </w:pPr>
            <w:r>
              <w:rPr>
                <w:b/>
                <w:bCs/>
                <w:color w:val="FFFFFF"/>
                <w:sz w:val="20"/>
                <w:szCs w:val="20"/>
              </w:rPr>
              <w:t xml:space="preserve">You Get Fiat</w:t>
            </w:r>
          </w:p>
        </w:tc>
        <w:tc>
          <w:tcPr>
            <w:tcW w:type="dxa" w:w="1560"/>
            <w:tcBorders>
              <w:top w:val="single" w:color="CCCCCC" w:sz="1"/>
              <w:left w:val="single" w:color="CCCCCC" w:sz="1"/>
              <w:bottom w:val="single" w:color="CCCCCC" w:sz="1"/>
              <w:right w:val="single" w:color="CCCCCC" w:sz="1"/>
            </w:tcBorders>
          </w:tcPr>
          <w:p>
            <w:pPr>
              <w:jc w:val="center"/>
            </w:pPr>
            <w:r>
              <w:rPr>
                <w:b/>
                <w:bCs/>
                <w:color w:val="2E7D32"/>
                <w:sz w:val="20"/>
                <w:szCs w:val="20"/>
              </w:rPr>
              <w:t xml:space="preserve">DONE</w:t>
            </w:r>
          </w:p>
        </w:tc>
      </w:tr>
    </w:tbl>
    <w:p>
      <w:pPr>
        <w:spacing w:before="300"/>
      </w:pPr>
      <w:r>
        <w:rPr>
          <w:b/>
          <w:bCs/>
        </w:rPr>
        <w:t xml:space="preserve">Step-by-Step Process:</w:t>
      </w:r>
    </w:p>
    <w:p>
      <w:pPr>
        <w:pStyle w:val="ListParagraph"/>
        <w:numPr>
          <w:ilvl w:val="0"/>
          <w:numId w:val="4"/>
        </w:numPr>
      </w:pPr>
      <w:r>
        <w:rPr>
          <w:b/>
          <w:bCs/>
        </w:rPr>
        <w:t xml:space="preserve">Initiate Bridge Request: </w:t>
      </w:r>
      <w:r>
        <w:t xml:space="preserve">Specify amount of MG and destination (USDT, USDC, or bank wire)</w:t>
      </w:r>
    </w:p>
    <w:p>
      <w:pPr>
        <w:pStyle w:val="ListParagraph"/>
        <w:numPr>
          <w:ilvl w:val="0"/>
          <w:numId w:val="4"/>
        </w:numPr>
      </w:pPr>
      <w:r>
        <w:rPr>
          <w:b/>
          <w:bCs/>
        </w:rPr>
        <w:t xml:space="preserve">Send MG to Bridge Contract: </w:t>
      </w:r>
      <w:r>
        <w:t xml:space="preserve">Transfer MG to the FLAME Bridge smart contract address</w:t>
      </w:r>
    </w:p>
    <w:p>
      <w:pPr>
        <w:pStyle w:val="ListParagraph"/>
        <w:numPr>
          <w:ilvl w:val="0"/>
          <w:numId w:val="4"/>
        </w:numPr>
      </w:pPr>
      <w:r>
        <w:rPr>
          <w:b/>
          <w:bCs/>
        </w:rPr>
        <w:t xml:space="preserve">Bridge Verifies &amp; Locks: </w:t>
      </w:r>
      <w:r>
        <w:t xml:space="preserve">Smart contract confirms receipt and locks your MG</w:t>
      </w:r>
    </w:p>
    <w:p>
      <w:pPr>
        <w:pStyle w:val="ListParagraph"/>
        <w:numPr>
          <w:ilvl w:val="0"/>
          <w:numId w:val="4"/>
        </w:numPr>
      </w:pPr>
      <w:r>
        <w:rPr>
          <w:b/>
          <w:bCs/>
        </w:rPr>
        <w:t xml:space="preserve">Fiat Released: </w:t>
      </w:r>
      <w:r>
        <w:t xml:space="preserve">USDT/USDC sent to your wallet OR wire initiated to your bank</w:t>
      </w:r>
    </w:p>
    <w:p>
      <w:pPr>
        <w:pStyle w:val="ListParagraph"/>
        <w:numPr>
          <w:ilvl w:val="0"/>
          <w:numId w:val="4"/>
        </w:numPr>
      </w:pPr>
      <w:r>
        <w:rPr>
          <w:b/>
          <w:bCs/>
        </w:rPr>
        <w:t xml:space="preserve">Confirmation: </w:t>
      </w:r>
      <w:r>
        <w:t xml:space="preserve">Transaction hash provided for both legs of the bridge</w:t>
      </w:r>
    </w:p>
    <w:p>
      <w:pPr>
        <w:pStyle w:val="Heading2"/>
      </w:pPr>
      <w:r>
        <w:t xml:space="preserve">Bridge Settlement Options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263B" w:val="clear"/>
          </w:tcPr>
          <w:p>
            <w:pPr>
              <w:jc w:val="center"/>
            </w:pPr>
            <w:r>
              <w:rPr>
                <w:b/>
                <w:bCs/>
                <w:color w:val="FFFFFF"/>
              </w:rPr>
              <w:t xml:space="preserve">Output</w:t>
            </w:r>
          </w:p>
        </w:tc>
        <w:tc>
          <w:tcPr>
            <w:tcW w:type="dxa" w:w="2340"/>
            <w:tcBorders>
              <w:top w:val="single" w:color="CCCCCC" w:sz="1"/>
              <w:left w:val="single" w:color="CCCCCC" w:sz="1"/>
              <w:bottom w:val="single" w:color="CCCCCC" w:sz="1"/>
              <w:right w:val="single" w:color="CCCCCC" w:sz="1"/>
            </w:tcBorders>
            <w:shd w:fill="1B263B" w:val="clear"/>
          </w:tcPr>
          <w:p>
            <w:pPr>
              <w:jc w:val="center"/>
            </w:pPr>
            <w:r>
              <w:rPr>
                <w:b/>
                <w:bCs/>
                <w:color w:val="FFFFFF"/>
              </w:rPr>
              <w:t xml:space="preserve">Settlement Time</w:t>
            </w:r>
          </w:p>
        </w:tc>
        <w:tc>
          <w:tcPr>
            <w:tcW w:type="dxa" w:w="2340"/>
            <w:tcBorders>
              <w:top w:val="single" w:color="CCCCCC" w:sz="1"/>
              <w:left w:val="single" w:color="CCCCCC" w:sz="1"/>
              <w:bottom w:val="single" w:color="CCCCCC" w:sz="1"/>
              <w:right w:val="single" w:color="CCCCCC" w:sz="1"/>
            </w:tcBorders>
            <w:shd w:fill="1B263B" w:val="clear"/>
          </w:tcPr>
          <w:p>
            <w:pPr>
              <w:jc w:val="center"/>
            </w:pPr>
            <w:r>
              <w:rPr>
                <w:b/>
                <w:bCs/>
                <w:color w:val="FFFFFF"/>
              </w:rPr>
              <w:t xml:space="preserve">Fee</w:t>
            </w:r>
          </w:p>
        </w:tc>
        <w:tc>
          <w:tcPr>
            <w:tcW w:type="dxa" w:w="2340"/>
            <w:tcBorders>
              <w:top w:val="single" w:color="CCCCCC" w:sz="1"/>
              <w:left w:val="single" w:color="CCCCCC" w:sz="1"/>
              <w:bottom w:val="single" w:color="CCCCCC" w:sz="1"/>
              <w:right w:val="single" w:color="CCCCCC" w:sz="1"/>
            </w:tcBorders>
            <w:shd w:fill="1B263B" w:val="clear"/>
          </w:tcPr>
          <w:p>
            <w:pPr>
              <w:jc w:val="center"/>
            </w:pPr>
            <w:r>
              <w:rPr>
                <w:b/>
                <w:bCs/>
                <w:color w:val="FFFFFF"/>
              </w:rPr>
              <w:t xml:space="preserve">Best For</w:t>
            </w:r>
          </w:p>
        </w:tc>
      </w:tr>
      <w:tr>
        <w:tc>
          <w:tcPr>
            <w:tcW w:type="dxa" w:w="2340"/>
            <w:tcBorders>
              <w:top w:val="single" w:color="CCCCCC" w:sz="1"/>
              <w:left w:val="single" w:color="CCCCCC" w:sz="1"/>
              <w:bottom w:val="single" w:color="CCCCCC" w:sz="1"/>
              <w:right w:val="single" w:color="CCCCCC" w:sz="1"/>
            </w:tcBorders>
          </w:tcPr>
          <w:p>
            <w:r>
              <w:rPr>
                <w:b/>
                <w:bCs/>
              </w:rPr>
              <w:t xml:space="preserve">USDT (Ethereum)</w:t>
            </w:r>
          </w:p>
        </w:tc>
        <w:tc>
          <w:tcPr>
            <w:tcW w:type="dxa" w:w="2340"/>
            <w:tcBorders>
              <w:top w:val="single" w:color="CCCCCC" w:sz="1"/>
              <w:left w:val="single" w:color="CCCCCC" w:sz="1"/>
              <w:bottom w:val="single" w:color="CCCCCC" w:sz="1"/>
              <w:right w:val="single" w:color="CCCCCC" w:sz="1"/>
            </w:tcBorders>
          </w:tcPr>
          <w:p>
            <w:r>
              <w:t xml:space="preserve">&lt; 5 minutes</w:t>
            </w:r>
          </w:p>
        </w:tc>
        <w:tc>
          <w:tcPr>
            <w:tcW w:type="dxa" w:w="2340"/>
            <w:tcBorders>
              <w:top w:val="single" w:color="CCCCCC" w:sz="1"/>
              <w:left w:val="single" w:color="CCCCCC" w:sz="1"/>
              <w:bottom w:val="single" w:color="CCCCCC" w:sz="1"/>
              <w:right w:val="single" w:color="CCCCCC" w:sz="1"/>
            </w:tcBorders>
          </w:tcPr>
          <w:p>
            <w:r>
              <w:t xml:space="preserve">0.1%</w:t>
            </w:r>
          </w:p>
        </w:tc>
        <w:tc>
          <w:tcPr>
            <w:tcW w:type="dxa" w:w="2340"/>
            <w:tcBorders>
              <w:top w:val="single" w:color="CCCCCC" w:sz="1"/>
              <w:left w:val="single" w:color="CCCCCC" w:sz="1"/>
              <w:bottom w:val="single" w:color="CCCCCC" w:sz="1"/>
              <w:right w:val="single" w:color="CCCCCC" w:sz="1"/>
            </w:tcBorders>
          </w:tcPr>
          <w:p>
            <w:r>
              <w:t xml:space="preserve">Crypto-native ops</w:t>
            </w:r>
          </w:p>
        </w:tc>
      </w:tr>
      <w:tr>
        <w:tc>
          <w:tcPr>
            <w:tcW w:type="dxa" w:w="2340"/>
            <w:tcBorders>
              <w:top w:val="single" w:color="CCCCCC" w:sz="1"/>
              <w:left w:val="single" w:color="CCCCCC" w:sz="1"/>
              <w:bottom w:val="single" w:color="CCCCCC" w:sz="1"/>
              <w:right w:val="single" w:color="CCCCCC" w:sz="1"/>
            </w:tcBorders>
            <w:shd w:fill="F5F5F5" w:val="clear"/>
          </w:tcPr>
          <w:p>
            <w:r>
              <w:rPr>
                <w:b/>
                <w:bCs/>
              </w:rPr>
              <w:t xml:space="preserve">USDT (TRON)</w:t>
            </w:r>
          </w:p>
        </w:tc>
        <w:tc>
          <w:tcPr>
            <w:tcW w:type="dxa" w:w="2340"/>
            <w:tcBorders>
              <w:top w:val="single" w:color="CCCCCC" w:sz="1"/>
              <w:left w:val="single" w:color="CCCCCC" w:sz="1"/>
              <w:bottom w:val="single" w:color="CCCCCC" w:sz="1"/>
              <w:right w:val="single" w:color="CCCCCC" w:sz="1"/>
            </w:tcBorders>
            <w:shd w:fill="F5F5F5" w:val="clear"/>
          </w:tcPr>
          <w:p>
            <w:r>
              <w:t xml:space="preserve">&lt; 2 minutes</w:t>
            </w:r>
          </w:p>
        </w:tc>
        <w:tc>
          <w:tcPr>
            <w:tcW w:type="dxa" w:w="2340"/>
            <w:tcBorders>
              <w:top w:val="single" w:color="CCCCCC" w:sz="1"/>
              <w:left w:val="single" w:color="CCCCCC" w:sz="1"/>
              <w:bottom w:val="single" w:color="CCCCCC" w:sz="1"/>
              <w:right w:val="single" w:color="CCCCCC" w:sz="1"/>
            </w:tcBorders>
            <w:shd w:fill="F5F5F5" w:val="clear"/>
          </w:tcPr>
          <w:p>
            <w:r>
              <w:t xml:space="preserve">0.1%</w:t>
            </w:r>
          </w:p>
        </w:tc>
        <w:tc>
          <w:tcPr>
            <w:tcW w:type="dxa" w:w="2340"/>
            <w:tcBorders>
              <w:top w:val="single" w:color="CCCCCC" w:sz="1"/>
              <w:left w:val="single" w:color="CCCCCC" w:sz="1"/>
              <w:bottom w:val="single" w:color="CCCCCC" w:sz="1"/>
              <w:right w:val="single" w:color="CCCCCC" w:sz="1"/>
            </w:tcBorders>
            <w:shd w:fill="F5F5F5" w:val="clear"/>
          </w:tcPr>
          <w:p>
            <w:r>
              <w:t xml:space="preserve">Low-fee transfers</w:t>
            </w:r>
          </w:p>
        </w:tc>
      </w:tr>
      <w:tr>
        <w:tc>
          <w:tcPr>
            <w:tcW w:type="dxa" w:w="2340"/>
            <w:tcBorders>
              <w:top w:val="single" w:color="CCCCCC" w:sz="1"/>
              <w:left w:val="single" w:color="CCCCCC" w:sz="1"/>
              <w:bottom w:val="single" w:color="CCCCCC" w:sz="1"/>
              <w:right w:val="single" w:color="CCCCCC" w:sz="1"/>
            </w:tcBorders>
          </w:tcPr>
          <w:p>
            <w:r>
              <w:rPr>
                <w:b/>
                <w:bCs/>
              </w:rPr>
              <w:t xml:space="preserve">USDC</w:t>
            </w:r>
          </w:p>
        </w:tc>
        <w:tc>
          <w:tcPr>
            <w:tcW w:type="dxa" w:w="2340"/>
            <w:tcBorders>
              <w:top w:val="single" w:color="CCCCCC" w:sz="1"/>
              <w:left w:val="single" w:color="CCCCCC" w:sz="1"/>
              <w:bottom w:val="single" w:color="CCCCCC" w:sz="1"/>
              <w:right w:val="single" w:color="CCCCCC" w:sz="1"/>
            </w:tcBorders>
          </w:tcPr>
          <w:p>
            <w:r>
              <w:t xml:space="preserve">&lt; 5 minutes</w:t>
            </w:r>
          </w:p>
        </w:tc>
        <w:tc>
          <w:tcPr>
            <w:tcW w:type="dxa" w:w="2340"/>
            <w:tcBorders>
              <w:top w:val="single" w:color="CCCCCC" w:sz="1"/>
              <w:left w:val="single" w:color="CCCCCC" w:sz="1"/>
              <w:bottom w:val="single" w:color="CCCCCC" w:sz="1"/>
              <w:right w:val="single" w:color="CCCCCC" w:sz="1"/>
            </w:tcBorders>
          </w:tcPr>
          <w:p>
            <w:r>
              <w:t xml:space="preserve">0.1%</w:t>
            </w:r>
          </w:p>
        </w:tc>
        <w:tc>
          <w:tcPr>
            <w:tcW w:type="dxa" w:w="2340"/>
            <w:tcBorders>
              <w:top w:val="single" w:color="CCCCCC" w:sz="1"/>
              <w:left w:val="single" w:color="CCCCCC" w:sz="1"/>
              <w:bottom w:val="single" w:color="CCCCCC" w:sz="1"/>
              <w:right w:val="single" w:color="CCCCCC" w:sz="1"/>
            </w:tcBorders>
          </w:tcPr>
          <w:p>
            <w:r>
              <w:t xml:space="preserve">US-regulated stable</w:t>
            </w:r>
          </w:p>
        </w:tc>
      </w:tr>
      <w:tr>
        <w:tc>
          <w:tcPr>
            <w:tcW w:type="dxa" w:w="2340"/>
            <w:tcBorders>
              <w:top w:val="single" w:color="CCCCCC" w:sz="1"/>
              <w:left w:val="single" w:color="CCCCCC" w:sz="1"/>
              <w:bottom w:val="single" w:color="CCCCCC" w:sz="1"/>
              <w:right w:val="single" w:color="CCCCCC" w:sz="1"/>
            </w:tcBorders>
            <w:shd w:fill="F5F5F5" w:val="clear"/>
          </w:tcPr>
          <w:p>
            <w:r>
              <w:rPr>
                <w:b/>
                <w:bCs/>
              </w:rPr>
              <w:t xml:space="preserve">USD Wire</w:t>
            </w:r>
          </w:p>
        </w:tc>
        <w:tc>
          <w:tcPr>
            <w:tcW w:type="dxa" w:w="2340"/>
            <w:tcBorders>
              <w:top w:val="single" w:color="CCCCCC" w:sz="1"/>
              <w:left w:val="single" w:color="CCCCCC" w:sz="1"/>
              <w:bottom w:val="single" w:color="CCCCCC" w:sz="1"/>
              <w:right w:val="single" w:color="CCCCCC" w:sz="1"/>
            </w:tcBorders>
            <w:shd w:fill="F5F5F5" w:val="clear"/>
          </w:tcPr>
          <w:p>
            <w:r>
              <w:t xml:space="preserve">Same business day</w:t>
            </w:r>
          </w:p>
        </w:tc>
        <w:tc>
          <w:tcPr>
            <w:tcW w:type="dxa" w:w="2340"/>
            <w:tcBorders>
              <w:top w:val="single" w:color="CCCCCC" w:sz="1"/>
              <w:left w:val="single" w:color="CCCCCC" w:sz="1"/>
              <w:bottom w:val="single" w:color="CCCCCC" w:sz="1"/>
              <w:right w:val="single" w:color="CCCCCC" w:sz="1"/>
            </w:tcBorders>
            <w:shd w:fill="F5F5F5" w:val="clear"/>
          </w:tcPr>
          <w:p>
            <w:r>
              <w:t xml:space="preserve">0.25% + $25</w:t>
            </w:r>
          </w:p>
        </w:tc>
        <w:tc>
          <w:tcPr>
            <w:tcW w:type="dxa" w:w="2340"/>
            <w:tcBorders>
              <w:top w:val="single" w:color="CCCCCC" w:sz="1"/>
              <w:left w:val="single" w:color="CCCCCC" w:sz="1"/>
              <w:bottom w:val="single" w:color="CCCCCC" w:sz="1"/>
              <w:right w:val="single" w:color="CCCCCC" w:sz="1"/>
            </w:tcBorders>
            <w:shd w:fill="F5F5F5" w:val="clear"/>
          </w:tcPr>
          <w:p>
            <w:r>
              <w:t xml:space="preserve">Traditional banking</w:t>
            </w:r>
          </w:p>
        </w:tc>
      </w:tr>
      <w:tr>
        <w:tc>
          <w:tcPr>
            <w:tcW w:type="dxa" w:w="2340"/>
            <w:tcBorders>
              <w:top w:val="single" w:color="CCCCCC" w:sz="1"/>
              <w:left w:val="single" w:color="CCCCCC" w:sz="1"/>
              <w:bottom w:val="single" w:color="CCCCCC" w:sz="1"/>
              <w:right w:val="single" w:color="CCCCCC" w:sz="1"/>
            </w:tcBorders>
          </w:tcPr>
          <w:p>
            <w:r>
              <w:rPr>
                <w:b/>
                <w:bCs/>
              </w:rPr>
              <w:t xml:space="preserve">EUR SEPA</w:t>
            </w:r>
          </w:p>
        </w:tc>
        <w:tc>
          <w:tcPr>
            <w:tcW w:type="dxa" w:w="2340"/>
            <w:tcBorders>
              <w:top w:val="single" w:color="CCCCCC" w:sz="1"/>
              <w:left w:val="single" w:color="CCCCCC" w:sz="1"/>
              <w:bottom w:val="single" w:color="CCCCCC" w:sz="1"/>
              <w:right w:val="single" w:color="CCCCCC" w:sz="1"/>
            </w:tcBorders>
          </w:tcPr>
          <w:p>
            <w:r>
              <w:t xml:space="preserve">Same business day</w:t>
            </w:r>
          </w:p>
        </w:tc>
        <w:tc>
          <w:tcPr>
            <w:tcW w:type="dxa" w:w="2340"/>
            <w:tcBorders>
              <w:top w:val="single" w:color="CCCCCC" w:sz="1"/>
              <w:left w:val="single" w:color="CCCCCC" w:sz="1"/>
              <w:bottom w:val="single" w:color="CCCCCC" w:sz="1"/>
              <w:right w:val="single" w:color="CCCCCC" w:sz="1"/>
            </w:tcBorders>
          </w:tcPr>
          <w:p>
            <w:r>
              <w:t xml:space="preserve">0.25% + €20</w:t>
            </w:r>
          </w:p>
        </w:tc>
        <w:tc>
          <w:tcPr>
            <w:tcW w:type="dxa" w:w="2340"/>
            <w:tcBorders>
              <w:top w:val="single" w:color="CCCCCC" w:sz="1"/>
              <w:left w:val="single" w:color="CCCCCC" w:sz="1"/>
              <w:bottom w:val="single" w:color="CCCCCC" w:sz="1"/>
              <w:right w:val="single" w:color="CCCCCC" w:sz="1"/>
            </w:tcBorders>
          </w:tcPr>
          <w:p>
            <w:r>
              <w:t xml:space="preserve">European ops</w:t>
            </w:r>
          </w:p>
        </w:tc>
      </w:tr>
    </w:tbl>
    <w:p>
      <w:r>
        <w:br w:type="page"/>
      </w:r>
    </w:p>
    <w:p>
      <w:pPr>
        <w:pStyle w:val="Heading1"/>
      </w:pPr>
      <w:r>
        <w:t xml:space="preserve">Practical Example: Converting 1,000 MG to USD</w:t>
      </w:r>
    </w:p>
    <w:p>
      <w:r>
        <w:t xml:space="preserve">You have 10,000,000,000 MG in your wallet. You need $1,000 USD to pay a vendor who doesn't accept MG. Here's exactly what you do:</w:t>
      </w:r>
    </w:p>
    <w:p>
      <w:pPr>
        <w:pStyle w:val="Heading2"/>
      </w:pPr>
      <w:r>
        <w:t xml:space="preserve">Option A: Bridge to USDT (Fastest)</w:t>
      </w:r>
    </w:p>
    <w:p>
      <w:pPr>
        <w:pStyle w:val="ListParagraph"/>
        <w:numPr>
          <w:ilvl w:val="0"/>
          <w:numId w:val="5"/>
        </w:numPr>
      </w:pPr>
      <w:r>
        <w:t xml:space="preserve">Log into FLAME Bridge Portal or call API endpoint</w:t>
      </w:r>
    </w:p>
    <w:p>
      <w:pPr>
        <w:pStyle w:val="ListParagraph"/>
        <w:numPr>
          <w:ilvl w:val="0"/>
          <w:numId w:val="5"/>
        </w:numPr>
      </w:pPr>
      <w:r>
        <w:t xml:space="preserve">Select 'MG → USDT' conversion</w:t>
      </w:r>
    </w:p>
    <w:p>
      <w:pPr>
        <w:pStyle w:val="ListParagraph"/>
        <w:numPr>
          <w:ilvl w:val="0"/>
          <w:numId w:val="5"/>
        </w:numPr>
      </w:pPr>
      <w:r>
        <w:t xml:space="preserve">Enter amount: 1,000 MG</w:t>
      </w:r>
    </w:p>
    <w:p>
      <w:pPr>
        <w:pStyle w:val="ListParagraph"/>
        <w:numPr>
          <w:ilvl w:val="0"/>
          <w:numId w:val="5"/>
        </w:numPr>
      </w:pPr>
      <w:r>
        <w:t xml:space="preserve">Confirm destination wallet for USDT</w:t>
      </w:r>
    </w:p>
    <w:p>
      <w:pPr>
        <w:pStyle w:val="ListParagraph"/>
        <w:numPr>
          <w:ilvl w:val="0"/>
          <w:numId w:val="5"/>
        </w:numPr>
      </w:pPr>
      <w:r>
        <w:t xml:space="preserve">Sign transaction from your Safe{Wallet}</w:t>
      </w:r>
    </w:p>
    <w:p>
      <w:pPr>
        <w:pStyle w:val="ListParagraph"/>
        <w:numPr>
          <w:ilvl w:val="0"/>
          <w:numId w:val="5"/>
        </w:numPr>
      </w:pPr>
      <w:r>
        <w:t xml:space="preserve">Receive 999 USDT (after 0.1% fee) in &lt; 5 minutes</w:t>
      </w:r>
    </w:p>
    <w:p>
      <w:pPr>
        <w:pStyle w:val="ListParagraph"/>
        <w:numPr>
          <w:ilvl w:val="0"/>
          <w:numId w:val="5"/>
        </w:numPr>
      </w:pPr>
      <w:r>
        <w:t xml:space="preserve">Send USDT to vendor OR use exchange to convert to fiat</w:t>
      </w:r>
    </w:p>
    <w:p>
      <w:pPr>
        <w:pStyle w:val="Heading2"/>
      </w:pPr>
      <w:r>
        <w:t xml:space="preserve">Option B: Bridge to Bank Wire (Traditional)</w:t>
      </w:r>
    </w:p>
    <w:p>
      <w:pPr>
        <w:pStyle w:val="ListParagraph"/>
        <w:numPr>
          <w:ilvl w:val="0"/>
          <w:numId w:val="6"/>
        </w:numPr>
      </w:pPr>
      <w:r>
        <w:t xml:space="preserve">Contact FLAME Treasury: treasury@flameqmm.app</w:t>
      </w:r>
    </w:p>
    <w:p>
      <w:pPr>
        <w:pStyle w:val="ListParagraph"/>
        <w:numPr>
          <w:ilvl w:val="0"/>
          <w:numId w:val="6"/>
        </w:numPr>
      </w:pPr>
      <w:r>
        <w:t xml:space="preserve">Provide: Amount (1,000 MG), Bank details (Account, Routing, SWIFT)</w:t>
      </w:r>
    </w:p>
    <w:p>
      <w:pPr>
        <w:pStyle w:val="ListParagraph"/>
        <w:numPr>
          <w:ilvl w:val="0"/>
          <w:numId w:val="6"/>
        </w:numPr>
      </w:pPr>
      <w:r>
        <w:t xml:space="preserve">Receive wire instructions and bridge address</w:t>
      </w:r>
    </w:p>
    <w:p>
      <w:pPr>
        <w:pStyle w:val="ListParagraph"/>
        <w:numPr>
          <w:ilvl w:val="0"/>
          <w:numId w:val="6"/>
        </w:numPr>
      </w:pPr>
      <w:r>
        <w:t xml:space="preserve">Send 1,000 MG to bridge address</w:t>
      </w:r>
    </w:p>
    <w:p>
      <w:pPr>
        <w:pStyle w:val="ListParagraph"/>
        <w:numPr>
          <w:ilvl w:val="0"/>
          <w:numId w:val="6"/>
        </w:numPr>
      </w:pPr>
      <w:r>
        <w:t xml:space="preserve">Treasury initiates wire: $997.50 (after 0.25% fee)</w:t>
      </w:r>
    </w:p>
    <w:p>
      <w:pPr>
        <w:pStyle w:val="ListParagraph"/>
        <w:numPr>
          <w:ilvl w:val="0"/>
          <w:numId w:val="6"/>
        </w:numPr>
      </w:pPr>
      <w:r>
        <w:t xml:space="preserve">Funds arrive same business day (before 2pm EST cutoff)</w:t>
      </w:r>
    </w:p>
    <w:p>
      <w:pPr>
        <w:spacing w:before="300"/>
      </w:pPr>
      <w:r>
        <w:rPr>
          <w:b/>
          <w:bCs/>
          <w:color w:val="B8960C"/>
        </w:rPr>
        <w:t xml:space="preserve">YOUR MG IS NOT STUCK. </w:t>
      </w:r>
      <w:r>
        <w:t xml:space="preserve">You have rails. Use them when you need fiat. Hold MG when you don't.</w:t>
      </w:r>
    </w:p>
    <w:p>
      <w:r>
        <w:br w:type="page"/>
      </w:r>
    </w:p>
    <w:p>
      <w:pPr>
        <w:pStyle w:val="Heading1"/>
      </w:pPr>
      <w:r>
        <w:t xml:space="preserve">API Integration for Automated Settlement</w:t>
      </w:r>
    </w:p>
    <w:p>
      <w:r>
        <w:t xml:space="preserve">For programmatic access, the FLAME API provides real-time bridge and transfer capabilities:</w:t>
      </w:r>
    </w:p>
    <w:p>
      <w:pPr>
        <w:pStyle w:val="Heading2"/>
      </w:pPr>
      <w:r>
        <w:t xml:space="preserve">Endpoints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63B" w:val="clear"/>
          </w:tcPr>
          <w:p>
            <w:pPr>
              <w:jc w:val="center"/>
            </w:pPr>
            <w:r>
              <w:rPr>
                <w:b/>
                <w:bCs/>
                <w:color w:val="FFFFFF"/>
              </w:rPr>
              <w:t xml:space="preserve">Action</w:t>
            </w:r>
          </w:p>
        </w:tc>
        <w:tc>
          <w:tcPr>
            <w:tcW w:type="dxa" w:w="3120"/>
            <w:tcBorders>
              <w:top w:val="single" w:color="CCCCCC" w:sz="1"/>
              <w:left w:val="single" w:color="CCCCCC" w:sz="1"/>
              <w:bottom w:val="single" w:color="CCCCCC" w:sz="1"/>
              <w:right w:val="single" w:color="CCCCCC" w:sz="1"/>
            </w:tcBorders>
            <w:shd w:fill="1B263B" w:val="clear"/>
          </w:tcPr>
          <w:p>
            <w:pPr>
              <w:jc w:val="center"/>
            </w:pPr>
            <w:r>
              <w:rPr>
                <w:b/>
                <w:bCs/>
                <w:color w:val="FFFFFF"/>
              </w:rPr>
              <w:t xml:space="preserve">Endpoint</w:t>
            </w:r>
          </w:p>
        </w:tc>
        <w:tc>
          <w:tcPr>
            <w:tcW w:type="dxa" w:w="3120"/>
            <w:tcBorders>
              <w:top w:val="single" w:color="CCCCCC" w:sz="1"/>
              <w:left w:val="single" w:color="CCCCCC" w:sz="1"/>
              <w:bottom w:val="single" w:color="CCCCCC" w:sz="1"/>
              <w:right w:val="single" w:color="CCCCCC" w:sz="1"/>
            </w:tcBorders>
            <w:shd w:fill="1B263B" w:val="clear"/>
          </w:tcPr>
          <w:p>
            <w:pPr>
              <w:jc w:val="center"/>
            </w:pPr>
            <w:r>
              <w:rPr>
                <w:b/>
                <w:bCs/>
                <w:color w:val="FFFFFF"/>
              </w:rPr>
              <w:t xml:space="preserve">Method</w:t>
            </w:r>
          </w:p>
        </w:tc>
      </w:tr>
      <w:tr>
        <w:tc>
          <w:tcPr>
            <w:tcW w:type="dxa" w:w="3120"/>
            <w:tcBorders>
              <w:top w:val="single" w:color="CCCCCC" w:sz="1"/>
              <w:left w:val="single" w:color="CCCCCC" w:sz="1"/>
              <w:bottom w:val="single" w:color="CCCCCC" w:sz="1"/>
              <w:right w:val="single" w:color="CCCCCC" w:sz="1"/>
            </w:tcBorders>
          </w:tcPr>
          <w:p>
            <w:r>
              <w:t xml:space="preserve">Check Balance</w:t>
            </w:r>
          </w:p>
        </w:tc>
        <w:tc>
          <w:tcPr>
            <w:tcW w:type="dxa" w:w="312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/api/v1/balance</w:t>
            </w:r>
          </w:p>
        </w:tc>
        <w:tc>
          <w:tcPr>
            <w:tcW w:type="dxa" w:w="3120"/>
            <w:tcBorders>
              <w:top w:val="single" w:color="CCCCCC" w:sz="1"/>
              <w:left w:val="single" w:color="CCCCCC" w:sz="1"/>
              <w:bottom w:val="single" w:color="CCCCCC" w:sz="1"/>
              <w:right w:val="single" w:color="CCCCCC" w:sz="1"/>
            </w:tcBorders>
          </w:tcPr>
          <w:p>
            <w:r>
              <w:t xml:space="preserve">GET</w:t>
            </w:r>
          </w:p>
        </w:tc>
      </w:tr>
      <w:tr>
        <w:tc>
          <w:tcPr>
            <w:tcW w:type="dxa" w:w="3120"/>
            <w:tcBorders>
              <w:top w:val="single" w:color="CCCCCC" w:sz="1"/>
              <w:left w:val="single" w:color="CCCCCC" w:sz="1"/>
              <w:bottom w:val="single" w:color="CCCCCC" w:sz="1"/>
              <w:right w:val="single" w:color="CCCCCC" w:sz="1"/>
            </w:tcBorders>
            <w:shd w:fill="F5F5F5" w:val="clear"/>
          </w:tcPr>
          <w:p>
            <w:r>
              <w:t xml:space="preserve">Transfer MG</w:t>
            </w:r>
          </w:p>
        </w:tc>
        <w:tc>
          <w:tcPr>
            <w:tcW w:type="dxa" w:w="312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20"/>
                <w:szCs w:val="20"/>
              </w:rPr>
              <w:t xml:space="preserve">/api/v1/transfer</w:t>
            </w:r>
          </w:p>
        </w:tc>
        <w:tc>
          <w:tcPr>
            <w:tcW w:type="dxa" w:w="3120"/>
            <w:tcBorders>
              <w:top w:val="single" w:color="CCCCCC" w:sz="1"/>
              <w:left w:val="single" w:color="CCCCCC" w:sz="1"/>
              <w:bottom w:val="single" w:color="CCCCCC" w:sz="1"/>
              <w:right w:val="single" w:color="CCCCCC" w:sz="1"/>
            </w:tcBorders>
            <w:shd w:fill="F5F5F5" w:val="clear"/>
          </w:tcPr>
          <w:p>
            <w:r>
              <w:t xml:space="preserve">POST</w:t>
            </w:r>
          </w:p>
        </w:tc>
      </w:tr>
      <w:tr>
        <w:tc>
          <w:tcPr>
            <w:tcW w:type="dxa" w:w="3120"/>
            <w:tcBorders>
              <w:top w:val="single" w:color="CCCCCC" w:sz="1"/>
              <w:left w:val="single" w:color="CCCCCC" w:sz="1"/>
              <w:bottom w:val="single" w:color="CCCCCC" w:sz="1"/>
              <w:right w:val="single" w:color="CCCCCC" w:sz="1"/>
            </w:tcBorders>
          </w:tcPr>
          <w:p>
            <w:r>
              <w:t xml:space="preserve">Bridge to USDT</w:t>
            </w:r>
          </w:p>
        </w:tc>
        <w:tc>
          <w:tcPr>
            <w:tcW w:type="dxa" w:w="312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/api/v1/bridge/usdt</w:t>
            </w:r>
          </w:p>
        </w:tc>
        <w:tc>
          <w:tcPr>
            <w:tcW w:type="dxa" w:w="3120"/>
            <w:tcBorders>
              <w:top w:val="single" w:color="CCCCCC" w:sz="1"/>
              <w:left w:val="single" w:color="CCCCCC" w:sz="1"/>
              <w:bottom w:val="single" w:color="CCCCCC" w:sz="1"/>
              <w:right w:val="single" w:color="CCCCCC" w:sz="1"/>
            </w:tcBorders>
          </w:tcPr>
          <w:p>
            <w:r>
              <w:t xml:space="preserve">POST</w:t>
            </w:r>
          </w:p>
        </w:tc>
      </w:tr>
      <w:tr>
        <w:tc>
          <w:tcPr>
            <w:tcW w:type="dxa" w:w="3120"/>
            <w:tcBorders>
              <w:top w:val="single" w:color="CCCCCC" w:sz="1"/>
              <w:left w:val="single" w:color="CCCCCC" w:sz="1"/>
              <w:bottom w:val="single" w:color="CCCCCC" w:sz="1"/>
              <w:right w:val="single" w:color="CCCCCC" w:sz="1"/>
            </w:tcBorders>
            <w:shd w:fill="F5F5F5" w:val="clear"/>
          </w:tcPr>
          <w:p>
            <w:r>
              <w:t xml:space="preserve">Bridge to Wire</w:t>
            </w:r>
          </w:p>
        </w:tc>
        <w:tc>
          <w:tcPr>
            <w:tcW w:type="dxa" w:w="312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20"/>
                <w:szCs w:val="20"/>
              </w:rPr>
              <w:t xml:space="preserve">/api/v1/bridge/wire</w:t>
            </w:r>
          </w:p>
        </w:tc>
        <w:tc>
          <w:tcPr>
            <w:tcW w:type="dxa" w:w="3120"/>
            <w:tcBorders>
              <w:top w:val="single" w:color="CCCCCC" w:sz="1"/>
              <w:left w:val="single" w:color="CCCCCC" w:sz="1"/>
              <w:bottom w:val="single" w:color="CCCCCC" w:sz="1"/>
              <w:right w:val="single" w:color="CCCCCC" w:sz="1"/>
            </w:tcBorders>
            <w:shd w:fill="F5F5F5" w:val="clear"/>
          </w:tcPr>
          <w:p>
            <w:r>
              <w:t xml:space="preserve">POST</w:t>
            </w:r>
          </w:p>
        </w:tc>
      </w:tr>
      <w:tr>
        <w:tc>
          <w:tcPr>
            <w:tcW w:type="dxa" w:w="3120"/>
            <w:tcBorders>
              <w:top w:val="single" w:color="CCCCCC" w:sz="1"/>
              <w:left w:val="single" w:color="CCCCCC" w:sz="1"/>
              <w:bottom w:val="single" w:color="CCCCCC" w:sz="1"/>
              <w:right w:val="single" w:color="CCCCCC" w:sz="1"/>
            </w:tcBorders>
          </w:tcPr>
          <w:p>
            <w:r>
              <w:t xml:space="preserve">Get TX Status</w:t>
            </w:r>
          </w:p>
        </w:tc>
        <w:tc>
          <w:tcPr>
            <w:tcW w:type="dxa" w:w="3120"/>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/api/v1/status/{txid}</w:t>
            </w:r>
          </w:p>
        </w:tc>
        <w:tc>
          <w:tcPr>
            <w:tcW w:type="dxa" w:w="3120"/>
            <w:tcBorders>
              <w:top w:val="single" w:color="CCCCCC" w:sz="1"/>
              <w:left w:val="single" w:color="CCCCCC" w:sz="1"/>
              <w:bottom w:val="single" w:color="CCCCCC" w:sz="1"/>
              <w:right w:val="single" w:color="CCCCCC" w:sz="1"/>
            </w:tcBorders>
          </w:tcPr>
          <w:p>
            <w:r>
              <w:t xml:space="preserve">GET</w:t>
            </w:r>
          </w:p>
        </w:tc>
      </w:tr>
    </w:tbl>
    <w:p>
      <w:pPr>
        <w:pStyle w:val="Heading2"/>
      </w:pPr>
      <w:r>
        <w:t xml:space="preserve">Example: Bridge 150 MG to USDT</w:t>
      </w:r>
    </w:p>
    <w:p>
      <w:pPr>
        <w:spacing w:before="200"/>
      </w:pPr>
      <w:r>
        <w:rPr>
          <w:rFonts w:ascii="Courier New" w:cs="Courier New" w:eastAsia="Courier New" w:hAnsi="Courier New"/>
          <w:sz w:val="22"/>
          <w:szCs w:val="22"/>
        </w:rPr>
        <w:t xml:space="preserve">POST /api/v1/bridge/usdt</w:t>
      </w:r>
    </w:p>
    <w:p>
      <w:pPr>
        <w:spacing w:before="100"/>
      </w:pPr>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"amount": "150",</w:t>
      </w:r>
    </w:p>
    <w:p>
      <w:r>
        <w:rPr>
          <w:rFonts w:ascii="Courier New" w:cs="Courier New" w:eastAsia="Courier New" w:hAnsi="Courier New"/>
          <w:sz w:val="20"/>
          <w:szCs w:val="20"/>
        </w:rPr>
        <w:t xml:space="preserve">  "destination": "0x...",</w:t>
      </w:r>
    </w:p>
    <w:p>
      <w:r>
        <w:rPr>
          <w:rFonts w:ascii="Courier New" w:cs="Courier New" w:eastAsia="Courier New" w:hAnsi="Courier New"/>
          <w:sz w:val="20"/>
          <w:szCs w:val="20"/>
        </w:rPr>
        <w:t xml:space="preserve">  "network": "ethereum"</w:t>
      </w:r>
    </w:p>
    <w:p>
      <w:r>
        <w:rPr>
          <w:rFonts w:ascii="Courier New" w:cs="Courier New" w:eastAsia="Courier New" w:hAnsi="Courier New"/>
          <w:sz w:val="20"/>
          <w:szCs w:val="20"/>
        </w:rPr>
        <w:t xml:space="preserve">}</w:t>
      </w:r>
    </w:p>
    <w:p>
      <w:pPr>
        <w:spacing w:before="200"/>
      </w:pPr>
      <w:r>
        <w:rPr>
          <w:b/>
          <w:bCs/>
        </w:rPr>
        <w:t xml:space="preserve">Response:</w:t>
      </w:r>
    </w:p>
    <w:p>
      <w:pPr>
        <w:spacing w:before="100"/>
      </w:pPr>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"status": "pending",</w:t>
      </w:r>
    </w:p>
    <w:p>
      <w:r>
        <w:rPr>
          <w:rFonts w:ascii="Courier New" w:cs="Courier New" w:eastAsia="Courier New" w:hAnsi="Courier New"/>
          <w:sz w:val="20"/>
          <w:szCs w:val="20"/>
        </w:rPr>
        <w:t xml:space="preserve">  "bridge_address": "0x...",</w:t>
      </w:r>
    </w:p>
    <w:p>
      <w:r>
        <w:rPr>
          <w:rFonts w:ascii="Courier New" w:cs="Courier New" w:eastAsia="Courier New" w:hAnsi="Courier New"/>
          <w:sz w:val="20"/>
          <w:szCs w:val="20"/>
        </w:rPr>
        <w:t xml:space="preserve">  "expected_output": "149.85",</w:t>
      </w:r>
    </w:p>
    <w:p>
      <w:r>
        <w:rPr>
          <w:rFonts w:ascii="Courier New" w:cs="Courier New" w:eastAsia="Courier New" w:hAnsi="Courier New"/>
          <w:sz w:val="20"/>
          <w:szCs w:val="20"/>
        </w:rPr>
        <w:t xml:space="preserve">  "eta_minutes": 5</w:t>
      </w:r>
    </w:p>
    <w:p>
      <w:r>
        <w:rPr>
          <w:rFonts w:ascii="Courier New" w:cs="Courier New" w:eastAsia="Courier New" w:hAnsi="Courier New"/>
          <w:sz w:val="20"/>
          <w:szCs w:val="20"/>
        </w:rPr>
        <w:t xml:space="preserve">}</w:t>
      </w:r>
    </w:p>
    <w:p>
      <w:r>
        <w:br w:type="page"/>
      </w:r>
    </w:p>
    <w:p>
      <w:pPr>
        <w:pStyle w:val="Heading1"/>
      </w:pPr>
      <w:r>
        <w:t xml:space="preserve">Frequently Asked Questions</w:t>
      </w:r>
    </w:p>
    <w:p>
      <w:pPr>
        <w:pStyle w:val="Heading3"/>
      </w:pPr>
      <w:r>
        <w:t xml:space="preserve">Q: Is MG 'real money'?</w:t>
      </w:r>
    </w:p>
    <w:p>
      <w:r>
        <w:rPr>
          <w:b/>
          <w:bCs/>
        </w:rPr>
        <w:t xml:space="preserve">A: </w:t>
      </w:r>
      <w:r>
        <w:t xml:space="preserve">Yes. MG is a reserve asset that settles on Ethereum mainnet with cryptographic finality. It's legally recognized as a Controllable Electronic Record under UCC Article 12. You can hold it, transfer it, collateralize it, and convert it to fiat.</w:t>
      </w:r>
    </w:p>
    <w:p>
      <w:pPr>
        <w:pStyle w:val="Heading3"/>
      </w:pPr>
      <w:r>
        <w:t xml:space="preserve">Q: Why can't I just get paid in USD instead?</w:t>
      </w:r>
    </w:p>
    <w:p>
      <w:r>
        <w:rPr>
          <w:b/>
          <w:bCs/>
        </w:rPr>
        <w:t xml:space="preserve">A: </w:t>
      </w:r>
      <w:r>
        <w:t xml:space="preserve">You can convert to USD anytime via the bridge. But MG offers advantages: instant settlement, no correspondent fees, 0% capital charge, and you're holding a reserve asset that doesn't depend on any single bank's solvency.</w:t>
      </w:r>
    </w:p>
    <w:p>
      <w:pPr>
        <w:pStyle w:val="Heading3"/>
      </w:pPr>
      <w:r>
        <w:t xml:space="preserve">Q: What if I need USD urgently?</w:t>
      </w:r>
    </w:p>
    <w:p>
      <w:r>
        <w:rPr>
          <w:b/>
          <w:bCs/>
        </w:rPr>
        <w:t xml:space="preserve">A: </w:t>
      </w:r>
      <w:r>
        <w:t xml:space="preserve">Bridge to USDT takes &lt; 5 minutes. Same-day wire is available before 2pm EST. You have faster access to fiat via FLAME Bridge than most traditional correspondent banking arrangements.</w:t>
      </w:r>
    </w:p>
    <w:p>
      <w:pPr>
        <w:pStyle w:val="Heading3"/>
      </w:pPr>
      <w:r>
        <w:t xml:space="preserve">Q: What's the 1:1 peg based on?</w:t>
      </w:r>
    </w:p>
    <w:p>
      <w:r>
        <w:rPr>
          <w:b/>
          <w:bCs/>
        </w:rPr>
        <w:t xml:space="preserve">A: </w:t>
      </w:r>
      <w:r>
        <w:t xml:space="preserve">MG is pegged to a sovereign value unit backed by constitutional anchors recorded on Ethereum. The bridge maintains the peg through treasury reserves and market making.</w:t>
      </w:r>
    </w:p>
    <w:p>
      <w:pPr>
        <w:pStyle w:val="Heading3"/>
      </w:pPr>
      <w:r>
        <w:t xml:space="preserve">Q: Is there a minimum/maximum for bridge transactions?</w:t>
      </w:r>
    </w:p>
    <w:p>
      <w:r>
        <w:rPr>
          <w:b/>
          <w:bCs/>
        </w:rPr>
        <w:t xml:space="preserve">A: </w:t>
      </w:r>
      <w:r>
        <w:t xml:space="preserve">Minimum: 100 MG for automated bridge. Maximum: Unlimited, but amounts over $1M require Treasury coordination (treasury@flameqmm.app) for same-day settlement.</w:t>
      </w:r>
    </w:p>
    <w:p>
      <w:pPr>
        <w:pStyle w:val="Heading3"/>
      </w:pPr>
      <w:r>
        <w:t xml:space="preserve">Q: How do I verify my balance?</w:t>
      </w:r>
    </w:p>
    <w:p>
      <w:r>
        <w:rPr>
          <w:b/>
          <w:bCs/>
        </w:rPr>
        <w:t xml:space="preserve">A: </w:t>
      </w:r>
      <w:r>
        <w:t xml:space="preserve">Go to Etherscan, enter your wallet address, and view your FLAMEC token balance. No bank letter needed—the blockchain is your proof of funds, available 24/7 to anyone.</w:t>
      </w:r>
    </w:p>
    <w:p>
      <w:r>
        <w:br w:type="page"/>
      </w:r>
    </w:p>
    <w:p>
      <w:pPr>
        <w:pStyle w:val="Heading1"/>
      </w:pPr>
      <w:r>
        <w:t xml:space="preserve">Summary: What You Can Do Today</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263B" w:val="clear"/>
          </w:tcPr>
          <w:p>
            <w:pPr>
              <w:jc w:val="center"/>
            </w:pPr>
            <w:r>
              <w:rPr>
                <w:b/>
                <w:bCs/>
                <w:color w:val="FFFFFF"/>
              </w:rPr>
              <w:t xml:space="preserve">If You Want To...</w:t>
            </w:r>
          </w:p>
        </w:tc>
        <w:tc>
          <w:tcPr>
            <w:tcW w:type="dxa" w:w="6240"/>
            <w:tcBorders>
              <w:top w:val="single" w:color="CCCCCC" w:sz="1"/>
              <w:left w:val="single" w:color="CCCCCC" w:sz="1"/>
              <w:bottom w:val="single" w:color="CCCCCC" w:sz="1"/>
              <w:right w:val="single" w:color="CCCCCC" w:sz="1"/>
            </w:tcBorders>
            <w:shd w:fill="1B263B" w:val="clear"/>
          </w:tcPr>
          <w:p>
            <w:pPr>
              <w:jc w:val="center"/>
            </w:pPr>
            <w:r>
              <w:rPr>
                <w:b/>
                <w:bCs/>
                <w:color w:val="FFFFFF"/>
              </w:rPr>
              <w:t xml:space="preserve">Do This</w:t>
            </w:r>
          </w:p>
        </w:tc>
      </w:tr>
      <w:tr>
        <w:tc>
          <w:tcPr>
            <w:tcW w:type="dxa" w:w="3120"/>
            <w:tcBorders>
              <w:top w:val="single" w:color="CCCCCC" w:sz="1"/>
              <w:left w:val="single" w:color="CCCCCC" w:sz="1"/>
              <w:bottom w:val="single" w:color="CCCCCC" w:sz="1"/>
              <w:right w:val="single" w:color="CCCCCC" w:sz="1"/>
            </w:tcBorders>
          </w:tcPr>
          <w:p>
            <w:r>
              <w:t xml:space="preserve">Check your balance</w:t>
            </w:r>
          </w:p>
        </w:tc>
        <w:tc>
          <w:tcPr>
            <w:tcW w:type="dxa" w:w="6240"/>
            <w:tcBorders>
              <w:top w:val="single" w:color="CCCCCC" w:sz="1"/>
              <w:left w:val="single" w:color="CCCCCC" w:sz="1"/>
              <w:bottom w:val="single" w:color="CCCCCC" w:sz="1"/>
              <w:right w:val="single" w:color="CCCCCC" w:sz="1"/>
            </w:tcBorders>
          </w:tcPr>
          <w:p>
            <w:r>
              <w:t xml:space="preserve">Visit Etherscan with your wallet address</w:t>
            </w:r>
          </w:p>
        </w:tc>
      </w:tr>
      <w:tr>
        <w:tc>
          <w:tcPr>
            <w:tcW w:type="dxa" w:w="3120"/>
            <w:tcBorders>
              <w:top w:val="single" w:color="CCCCCC" w:sz="1"/>
              <w:left w:val="single" w:color="CCCCCC" w:sz="1"/>
              <w:bottom w:val="single" w:color="CCCCCC" w:sz="1"/>
              <w:right w:val="single" w:color="CCCCCC" w:sz="1"/>
            </w:tcBorders>
            <w:shd w:fill="F5F5F5" w:val="clear"/>
          </w:tcPr>
          <w:p>
            <w:r>
              <w:t xml:space="preserve">Pay a vendor in MG</w:t>
            </w:r>
          </w:p>
        </w:tc>
        <w:tc>
          <w:tcPr>
            <w:tcW w:type="dxa" w:w="6240"/>
            <w:tcBorders>
              <w:top w:val="single" w:color="CCCCCC" w:sz="1"/>
              <w:left w:val="single" w:color="CCCCCC" w:sz="1"/>
              <w:bottom w:val="single" w:color="CCCCCC" w:sz="1"/>
              <w:right w:val="single" w:color="CCCCCC" w:sz="1"/>
            </w:tcBorders>
            <w:shd w:fill="F5F5F5" w:val="clear"/>
          </w:tcPr>
          <w:p>
            <w:r>
              <w:t xml:space="preserve">Get their wallet address, transfer via API/Safe{Wallet}</w:t>
            </w:r>
          </w:p>
        </w:tc>
      </w:tr>
      <w:tr>
        <w:tc>
          <w:tcPr>
            <w:tcW w:type="dxa" w:w="3120"/>
            <w:tcBorders>
              <w:top w:val="single" w:color="CCCCCC" w:sz="1"/>
              <w:left w:val="single" w:color="CCCCCC" w:sz="1"/>
              <w:bottom w:val="single" w:color="CCCCCC" w:sz="1"/>
              <w:right w:val="single" w:color="CCCCCC" w:sz="1"/>
            </w:tcBorders>
          </w:tcPr>
          <w:p>
            <w:r>
              <w:t xml:space="preserve">Get USDT fast</w:t>
            </w:r>
          </w:p>
        </w:tc>
        <w:tc>
          <w:tcPr>
            <w:tcW w:type="dxa" w:w="6240"/>
            <w:tcBorders>
              <w:top w:val="single" w:color="CCCCCC" w:sz="1"/>
              <w:left w:val="single" w:color="CCCCCC" w:sz="1"/>
              <w:bottom w:val="single" w:color="CCCCCC" w:sz="1"/>
              <w:right w:val="single" w:color="CCCCCC" w:sz="1"/>
            </w:tcBorders>
          </w:tcPr>
          <w:p>
            <w:r>
              <w:t xml:space="preserve">Use FLAME Bridge → USDT (&lt; 5 min)</w:t>
            </w:r>
          </w:p>
        </w:tc>
      </w:tr>
      <w:tr>
        <w:tc>
          <w:tcPr>
            <w:tcW w:type="dxa" w:w="3120"/>
            <w:tcBorders>
              <w:top w:val="single" w:color="CCCCCC" w:sz="1"/>
              <w:left w:val="single" w:color="CCCCCC" w:sz="1"/>
              <w:bottom w:val="single" w:color="CCCCCC" w:sz="1"/>
              <w:right w:val="single" w:color="CCCCCC" w:sz="1"/>
            </w:tcBorders>
            <w:shd w:fill="F5F5F5" w:val="clear"/>
          </w:tcPr>
          <w:p>
            <w:r>
              <w:t xml:space="preserve">Get USD in your bank</w:t>
            </w:r>
          </w:p>
        </w:tc>
        <w:tc>
          <w:tcPr>
            <w:tcW w:type="dxa" w:w="6240"/>
            <w:tcBorders>
              <w:top w:val="single" w:color="CCCCCC" w:sz="1"/>
              <w:left w:val="single" w:color="CCCCCC" w:sz="1"/>
              <w:bottom w:val="single" w:color="CCCCCC" w:sz="1"/>
              <w:right w:val="single" w:color="CCCCCC" w:sz="1"/>
            </w:tcBorders>
            <w:shd w:fill="F5F5F5" w:val="clear"/>
          </w:tcPr>
          <w:p>
            <w:r>
              <w:t xml:space="preserve">Contact treasury@flameqmm.app for wire (same-day)</w:t>
            </w:r>
          </w:p>
        </w:tc>
      </w:tr>
      <w:tr>
        <w:tc>
          <w:tcPr>
            <w:tcW w:type="dxa" w:w="3120"/>
            <w:tcBorders>
              <w:top w:val="single" w:color="CCCCCC" w:sz="1"/>
              <w:left w:val="single" w:color="CCCCCC" w:sz="1"/>
              <w:bottom w:val="single" w:color="CCCCCC" w:sz="1"/>
              <w:right w:val="single" w:color="CCCCCC" w:sz="1"/>
            </w:tcBorders>
          </w:tcPr>
          <w:p>
            <w:r>
              <w:t xml:space="preserve">Hold as reserve asset</w:t>
            </w:r>
          </w:p>
        </w:tc>
        <w:tc>
          <w:tcPr>
            <w:tcW w:type="dxa" w:w="6240"/>
            <w:tcBorders>
              <w:top w:val="single" w:color="CCCCCC" w:sz="1"/>
              <w:left w:val="single" w:color="CCCCCC" w:sz="1"/>
              <w:bottom w:val="single" w:color="CCCCCC" w:sz="1"/>
              <w:right w:val="single" w:color="CCCCCC" w:sz="1"/>
            </w:tcBorders>
          </w:tcPr>
          <w:p>
            <w:r>
              <w:t xml:space="preserve">Do nothing—your MG is safe, verifiable, and 0% risk-weighted</w:t>
            </w:r>
          </w:p>
        </w:tc>
      </w:tr>
      <w:tr>
        <w:tc>
          <w:tcPr>
            <w:tcW w:type="dxa" w:w="3120"/>
            <w:tcBorders>
              <w:top w:val="single" w:color="CCCCCC" w:sz="1"/>
              <w:left w:val="single" w:color="CCCCCC" w:sz="1"/>
              <w:bottom w:val="single" w:color="CCCCCC" w:sz="1"/>
              <w:right w:val="single" w:color="CCCCCC" w:sz="1"/>
            </w:tcBorders>
            <w:shd w:fill="F5F5F5" w:val="clear"/>
          </w:tcPr>
          <w:p>
            <w:r>
              <w:t xml:space="preserve">Use as collateral</w:t>
            </w:r>
          </w:p>
        </w:tc>
        <w:tc>
          <w:tcPr>
            <w:tcW w:type="dxa" w:w="6240"/>
            <w:tcBorders>
              <w:top w:val="single" w:color="CCCCCC" w:sz="1"/>
              <w:left w:val="single" w:color="CCCCCC" w:sz="1"/>
              <w:bottom w:val="single" w:color="CCCCCC" w:sz="1"/>
              <w:right w:val="single" w:color="CCCCCC" w:sz="1"/>
            </w:tcBorders>
            <w:shd w:fill="F5F5F5" w:val="clear"/>
          </w:tcPr>
          <w:p>
            <w:r>
              <w:t xml:space="preserve">Contact treasury for collateralized lending facilities</w:t>
            </w:r>
          </w:p>
        </w:tc>
      </w:tr>
    </w:tbl>
    <w:p>
      <w:pPr>
        <w:spacing w:before="600"/>
      </w:pPr>
    </w:p>
    <w:p>
      <w:pPr>
        <w:jc w:val="center"/>
      </w:pPr>
      <w:r>
        <w:rPr>
          <w:color w:val="B8960C"/>
        </w:rPr>
        <w:t xml:space="preserve">────────────────────────</w:t>
      </w:r>
    </w:p>
    <w:p>
      <w:pPr>
        <w:spacing w:before="200"/>
        <w:jc w:val="center"/>
      </w:pPr>
      <w:r>
        <w:rPr>
          <w:b/>
          <w:bCs/>
          <w:color w:val="B8960C"/>
          <w:sz w:val="28"/>
          <w:szCs w:val="28"/>
        </w:rPr>
        <w:t xml:space="preserve">FLAME Protocol</w:t>
      </w:r>
    </w:p>
    <w:p>
      <w:pPr>
        <w:jc w:val="center"/>
      </w:pPr>
      <w:r>
        <w:rPr>
          <w:i/>
          <w:iCs/>
          <w:color w:val="666666"/>
          <w:sz w:val="22"/>
          <w:szCs w:val="22"/>
        </w:rPr>
        <w:t xml:space="preserve">Formal Ledger for Atomic &amp; Mandatory Execution</w:t>
      </w:r>
    </w:p>
    <w:p>
      <w:pPr>
        <w:spacing w:before="200"/>
        <w:jc w:val="center"/>
      </w:pPr>
      <w:r>
        <w:rPr>
          <w:b/>
          <w:bCs/>
        </w:rPr>
        <w:t xml:space="preserve">Support: </w:t>
      </w:r>
      <w:r>
        <w:rPr>
          <w:sz w:val="22"/>
          <w:szCs w:val="22"/>
        </w:rPr>
        <w:t xml:space="preserve">support@flameqmm.app</w:t>
      </w:r>
    </w:p>
    <w:p>
      <w:pPr>
        <w:jc w:val="center"/>
      </w:pPr>
      <w:r>
        <w:rPr>
          <w:b/>
          <w:bCs/>
        </w:rPr>
        <w:t xml:space="preserve">Treasury: </w:t>
      </w:r>
      <w:r>
        <w:rPr>
          <w:sz w:val="22"/>
          <w:szCs w:val="22"/>
        </w:rPr>
        <w:t xml:space="preserve">treasury@flameqmm.app</w:t>
      </w:r>
    </w:p>
    <w:p>
      <w:pPr>
        <w:jc w:val="center"/>
      </w:pPr>
      <w:r>
        <w:rPr>
          <w:b/>
          <w:bCs/>
        </w:rPr>
        <w:t xml:space="preserve">Web: </w:t>
      </w:r>
      <w:r>
        <w:rPr>
          <w:sz w:val="22"/>
          <w:szCs w:val="22"/>
        </w:rPr>
        <w:t xml:space="preserve">flameqmm.app</w:t>
      </w:r>
    </w:p>
    <w:p>
      <w:pPr>
        <w:spacing w:before="200"/>
        <w:jc w:val="center"/>
      </w:pPr>
      <w:r>
        <w:rPr>
          <w:i/>
          <w:iCs/>
          <w:color w:val="B8960C"/>
          <w:sz w:val="24"/>
          <w:szCs w:val="24"/>
        </w:rPr>
        <w:t xml:space="preserve">You have the money. You have the rails. Use them.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FLAME Protocol — Banking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Georgia" w:cs="Georgia" w:eastAsia="Georgia" w:hAnsi="Georgia"/>
      <w:b/>
      <w:bCs/>
      <w:color w:val="1B263B"/>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1B263B"/>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1B263B"/>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1B26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2025-12-09T23:52:12.455Z</dcterms:created>
  <dcterms:modified xsi:type="dcterms:W3CDTF">2025-12-09T23:52:12.455Z</dcterms:modified>
</cp:coreProperties>
</file>

<file path=docProps/custom.xml><?xml version="1.0" encoding="utf-8"?>
<Properties xmlns="http://schemas.openxmlformats.org/officeDocument/2006/custom-properties" xmlns:vt="http://schemas.openxmlformats.org/officeDocument/2006/docPropsVTypes"/>
</file>