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64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150</m:t>
              </m:r>
              <m:r>
                <w:rPr>
                  <w:rFonts w:ascii="Cambria Math" w:hAnsi="Cambria Math" w:cs="Cambria Math"/>
                </w:rPr>
                <m:t>⋅4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</m:t>
          </m:r>
          <m:r>
            <w:rPr>
              <w:rFonts w:ascii="Cambria Math" w:hAnsi="Cambria Math"/>
            </w:rPr>
            <m:t>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77777777" w:rsidR="00ED0D41" w:rsidRDefault="008A1874" w:rsidP="008D00F9">
      <w:pPr>
        <w:keepNext/>
        <w:ind w:firstLine="0"/>
        <w:jc w:val="center"/>
      </w:pPr>
      <w:r w:rsidRPr="008A1874">
        <w:rPr>
          <w:noProof/>
        </w:rPr>
        <w:lastRenderedPageBreak/>
        <w:drawing>
          <wp:inline distT="0" distB="0" distL="0" distR="0" wp14:anchorId="1905608B" wp14:editId="2718D6DB">
            <wp:extent cx="5940425" cy="3713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CC2D382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</m:t>
        </m:r>
        <m:r>
          <w:rPr>
            <w:rFonts w:ascii="Cambria Math"/>
          </w:rPr>
          <m:t>6</m:t>
        </m:r>
        <m:r>
          <w:rPr>
            <w:rFonts w:ascii="Cambria Math"/>
          </w:rPr>
          <m:t>9</m:t>
        </m:r>
      </m:oMath>
      <w:r w:rsidR="009D155B">
        <w:t xml:space="preserve"> . Отсюда время горения заряда</w:t>
      </w:r>
    </w:p>
    <w:p w14:paraId="64DA382C" w14:textId="692B672F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0,03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0,6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</m:t>
          </m:r>
          <m:r>
            <w:rPr>
              <w:rFonts w:asci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569B49C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</m:t>
        </m:r>
        <m:r>
          <w:rPr>
            <w:rFonts w:ascii="Cambria Math"/>
          </w:rPr>
          <m:t>5</m:t>
        </m:r>
        <m:r>
          <w:rPr>
            <w:rFonts w:ascii="Cambria Math"/>
          </w:rPr>
          <m:t>-</m:t>
        </m:r>
        <m:r>
          <w:rPr>
            <w:rFonts w:ascii="Cambria Math"/>
          </w:rPr>
          <m:t>0,0</m:t>
        </m:r>
        <m:r>
          <w:rPr>
            <w:rFonts w:ascii="Cambria Math"/>
          </w:rPr>
          <m:t>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6C800B1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</m:t>
        </m:r>
        <m:r>
          <w:rPr>
            <w:rFonts w:ascii="Cambria Math"/>
          </w:rPr>
          <m:t>6</m:t>
        </m:r>
      </m:oMath>
      <w:r>
        <w:t>. Теоретический коэффициент тяги находится по таблице 1.</w:t>
      </w:r>
    </w:p>
    <w:p w14:paraId="5EDB691C" w14:textId="6650BDF2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Pr="00B62810">
        <w:rPr>
          <w:i w:val="0"/>
          <w:iCs w:val="0"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</w:t>
      </w:r>
      <w:r w:rsidRPr="00B62810">
        <w:rPr>
          <w:i w:val="0"/>
          <w:iCs w:val="0"/>
          <w:color w:val="auto"/>
          <w:sz w:val="28"/>
          <w:szCs w:val="24"/>
        </w:rPr>
        <w:t xml:space="preserve">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42CFDEFC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51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74B6CF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</m:t>
          </m:r>
          <m:r>
            <w:rPr>
              <w:rFonts w:ascii="Cambria Math"/>
            </w:rPr>
            <m:t>51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</m:t>
          </m:r>
          <m:r>
            <w:rPr>
              <w:rFonts w:ascii="Cambria Math"/>
            </w:rPr>
            <m:t>63</m:t>
          </m:r>
          <m:r>
            <w:rPr>
              <w:rFonts w:ascii="Cambria Math"/>
            </w:rPr>
            <m:t>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39271A67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618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4FAEC41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7580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88860C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8364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7" w:name="_Toc103869809"/>
      <w:r>
        <w:t>Выбор топлива и проектирование заряда</w:t>
      </w:r>
      <w:bookmarkEnd w:id="7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lastRenderedPageBreak/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lastRenderedPageBreak/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9" w:name="_Toc86751819"/>
      <w:r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lastRenderedPageBreak/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</w:t>
      </w:r>
      <w:r>
        <w:lastRenderedPageBreak/>
        <w:t xml:space="preserve">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</w:t>
      </w:r>
      <w:r>
        <w:rPr>
          <w:szCs w:val="28"/>
        </w:rPr>
        <w:lastRenderedPageBreak/>
        <w:t xml:space="preserve">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8D00F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807C" w14:textId="77777777" w:rsidR="00D147B7" w:rsidRDefault="00D147B7">
      <w:pPr>
        <w:spacing w:line="240" w:lineRule="auto"/>
      </w:pPr>
      <w:r>
        <w:separator/>
      </w:r>
    </w:p>
  </w:endnote>
  <w:endnote w:type="continuationSeparator" w:id="0">
    <w:p w14:paraId="0B799192" w14:textId="77777777" w:rsidR="00D147B7" w:rsidRDefault="00D14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5BFF85D2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D41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2AD1" w14:textId="77777777" w:rsidR="00D147B7" w:rsidRDefault="00D147B7">
      <w:pPr>
        <w:spacing w:line="240" w:lineRule="auto"/>
      </w:pPr>
      <w:r>
        <w:separator/>
      </w:r>
    </w:p>
  </w:footnote>
  <w:footnote w:type="continuationSeparator" w:id="0">
    <w:p w14:paraId="4AAE6D75" w14:textId="77777777" w:rsidR="00D147B7" w:rsidRDefault="00D14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667126">
    <w:abstractNumId w:val="6"/>
  </w:num>
  <w:num w:numId="2" w16cid:durableId="1613828216">
    <w:abstractNumId w:val="14"/>
  </w:num>
  <w:num w:numId="3" w16cid:durableId="853960798">
    <w:abstractNumId w:val="10"/>
  </w:num>
  <w:num w:numId="4" w16cid:durableId="1905407516">
    <w:abstractNumId w:val="5"/>
  </w:num>
  <w:num w:numId="5" w16cid:durableId="1973247282">
    <w:abstractNumId w:val="3"/>
  </w:num>
  <w:num w:numId="6" w16cid:durableId="1674870542">
    <w:abstractNumId w:val="9"/>
  </w:num>
  <w:num w:numId="7" w16cid:durableId="468941637">
    <w:abstractNumId w:val="7"/>
  </w:num>
  <w:num w:numId="8" w16cid:durableId="486021445">
    <w:abstractNumId w:val="4"/>
  </w:num>
  <w:num w:numId="9" w16cid:durableId="400369638">
    <w:abstractNumId w:val="13"/>
  </w:num>
  <w:num w:numId="10" w16cid:durableId="1005665449">
    <w:abstractNumId w:val="11"/>
  </w:num>
  <w:num w:numId="11" w16cid:durableId="1098409531">
    <w:abstractNumId w:val="1"/>
  </w:num>
  <w:num w:numId="12" w16cid:durableId="560285341">
    <w:abstractNumId w:val="12"/>
  </w:num>
  <w:num w:numId="13" w16cid:durableId="40062522">
    <w:abstractNumId w:val="2"/>
  </w:num>
  <w:num w:numId="14" w16cid:durableId="1133712514">
    <w:abstractNumId w:val="0"/>
  </w:num>
  <w:num w:numId="15" w16cid:durableId="1799178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406B8"/>
    <w:rsid w:val="00045292"/>
    <w:rsid w:val="000C3EB0"/>
    <w:rsid w:val="000E5635"/>
    <w:rsid w:val="000F4C20"/>
    <w:rsid w:val="00122CE0"/>
    <w:rsid w:val="00141BEB"/>
    <w:rsid w:val="0017271F"/>
    <w:rsid w:val="0019796E"/>
    <w:rsid w:val="0021493E"/>
    <w:rsid w:val="004343BC"/>
    <w:rsid w:val="004505FB"/>
    <w:rsid w:val="00485079"/>
    <w:rsid w:val="0059466C"/>
    <w:rsid w:val="005F1282"/>
    <w:rsid w:val="00602C65"/>
    <w:rsid w:val="006930FF"/>
    <w:rsid w:val="006A2599"/>
    <w:rsid w:val="006A55DC"/>
    <w:rsid w:val="0078125D"/>
    <w:rsid w:val="007A6EF8"/>
    <w:rsid w:val="007D3009"/>
    <w:rsid w:val="007D780E"/>
    <w:rsid w:val="008A1874"/>
    <w:rsid w:val="008D00F9"/>
    <w:rsid w:val="008E6B75"/>
    <w:rsid w:val="00916093"/>
    <w:rsid w:val="00927AAD"/>
    <w:rsid w:val="009C6922"/>
    <w:rsid w:val="009D155B"/>
    <w:rsid w:val="009F034A"/>
    <w:rsid w:val="00A2217C"/>
    <w:rsid w:val="00AB565C"/>
    <w:rsid w:val="00B62810"/>
    <w:rsid w:val="00C26CBF"/>
    <w:rsid w:val="00C30977"/>
    <w:rsid w:val="00C47157"/>
    <w:rsid w:val="00CB28BC"/>
    <w:rsid w:val="00D147B7"/>
    <w:rsid w:val="00DD4D17"/>
    <w:rsid w:val="00E52076"/>
    <w:rsid w:val="00E73B29"/>
    <w:rsid w:val="00E9020C"/>
    <w:rsid w:val="00E933EB"/>
    <w:rsid w:val="00ED0D41"/>
    <w:rsid w:val="00ED5B88"/>
    <w:rsid w:val="00F02A6C"/>
    <w:rsid w:val="00F050FE"/>
    <w:rsid w:val="00F15AF8"/>
    <w:rsid w:val="00FB42CB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AF61-2F4E-4749-B63A-D3AF51F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23</Pages>
  <Words>3455</Words>
  <Characters>19695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42</cp:revision>
  <dcterms:created xsi:type="dcterms:W3CDTF">2022-11-17T17:19:00Z</dcterms:created>
  <dcterms:modified xsi:type="dcterms:W3CDTF">2022-11-18T16:48:00Z</dcterms:modified>
</cp:coreProperties>
</file>