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9B3058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9B3058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9B3058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9B3058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9B3058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9B3058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9B3058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9B3058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9B3058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proofErr w:type="spellStart"/>
      <w:r w:rsidR="0059466C">
        <w:t>ветствии</w:t>
      </w:r>
      <w:proofErr w:type="spellEnd"/>
      <w:r w:rsidR="0059466C">
        <w:t xml:space="preserve">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9B3058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1FD066EE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="009520AD">
        <w:rPr>
          <w:i w:val="0"/>
          <w:iCs w:val="0"/>
          <w:noProof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9B3058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60876ECA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Pr="009A0E06">
        <w:rPr>
          <w:i w:val="0"/>
          <w:color w:val="000000" w:themeColor="text1"/>
          <w:sz w:val="28"/>
          <w:szCs w:val="24"/>
        </w:rPr>
        <w:fldChar w:fldCharType="begin"/>
      </w:r>
      <w:r w:rsidRPr="009A0E06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9A0E06">
        <w:rPr>
          <w:i w:val="0"/>
          <w:color w:val="000000" w:themeColor="text1"/>
          <w:sz w:val="28"/>
          <w:szCs w:val="24"/>
        </w:rPr>
        <w:fldChar w:fldCharType="separate"/>
      </w:r>
      <w:r w:rsidR="009520AD">
        <w:rPr>
          <w:i w:val="0"/>
          <w:noProof/>
          <w:color w:val="000000" w:themeColor="text1"/>
          <w:sz w:val="28"/>
          <w:szCs w:val="24"/>
        </w:rPr>
        <w:t>2</w:t>
      </w:r>
      <w:r w:rsidRPr="009A0E06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3AC2EF9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Pr="009520AD">
        <w:rPr>
          <w:i w:val="0"/>
          <w:color w:val="000000" w:themeColor="text1"/>
          <w:sz w:val="28"/>
          <w:szCs w:val="28"/>
        </w:rPr>
        <w:fldChar w:fldCharType="begin"/>
      </w:r>
      <w:r w:rsidRPr="009520A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520AD">
        <w:rPr>
          <w:i w:val="0"/>
          <w:color w:val="000000" w:themeColor="text1"/>
          <w:sz w:val="28"/>
          <w:szCs w:val="28"/>
        </w:rPr>
        <w:fldChar w:fldCharType="separate"/>
      </w:r>
      <w:r w:rsidRPr="009520AD">
        <w:rPr>
          <w:i w:val="0"/>
          <w:noProof/>
          <w:color w:val="000000" w:themeColor="text1"/>
          <w:sz w:val="28"/>
          <w:szCs w:val="28"/>
        </w:rPr>
        <w:t>3</w:t>
      </w:r>
      <w:r w:rsidRPr="009520AD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903791">
        <w:tc>
          <w:tcPr>
            <w:tcW w:w="4957" w:type="dxa"/>
            <w:shd w:val="clear" w:color="auto" w:fill="FFCCFF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FF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9B3058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9B3058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9B3058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9B3058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=4,3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9B3058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</w:t>
      </w:r>
      <w:bookmarkStart w:id="10" w:name="_GoBack"/>
      <w:bookmarkEnd w:id="10"/>
      <w:r>
        <w:t>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</w:t>
      </w:r>
      <w:proofErr w:type="spellStart"/>
      <w:r>
        <w:t>ов</w:t>
      </w:r>
      <w:proofErr w:type="spellEnd"/>
      <w:r>
        <w:t xml:space="preserve">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9B3058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9B3058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9B3058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9B3058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9B3058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 xml:space="preserve">. При такой начальной температуре наблюдается затянутый процесс горения, выражающийся в недостаточном </w:t>
      </w:r>
      <w:proofErr w:type="spellStart"/>
      <w:r>
        <w:rPr>
          <w:rFonts w:eastAsiaTheme="minorEastAsia"/>
          <w:iCs/>
        </w:rPr>
        <w:t>газоприходе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lastRenderedPageBreak/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9B3058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9B3058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9B3058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9B3058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9B3058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9B3058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9B3058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9B3058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9B3058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9B3058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9B3058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lastRenderedPageBreak/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9B3058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9B3058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9B3058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льных</m:t>
                  </m:r>
                  <w:proofErr w:type="spellEnd"/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9B3058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9B3058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9B3058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9B3058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</w:t>
      </w:r>
      <w:proofErr w:type="spellStart"/>
      <w:r>
        <w:t>енителя</w:t>
      </w:r>
      <w:proofErr w:type="spellEnd"/>
      <w:r>
        <w:t xml:space="preserve">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58718" w14:textId="77777777" w:rsidR="00567F02" w:rsidRDefault="00567F02">
      <w:pPr>
        <w:spacing w:line="240" w:lineRule="auto"/>
      </w:pPr>
      <w:r>
        <w:separator/>
      </w:r>
    </w:p>
  </w:endnote>
  <w:endnote w:type="continuationSeparator" w:id="0">
    <w:p w14:paraId="2853F96F" w14:textId="77777777" w:rsidR="00567F02" w:rsidRDefault="00567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37BA2E2C" w:rsidR="009B3058" w:rsidRDefault="009B305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7E7">
          <w:rPr>
            <w:noProof/>
          </w:rPr>
          <w:t>13</w:t>
        </w:r>
        <w:r>
          <w:fldChar w:fldCharType="end"/>
        </w:r>
      </w:p>
    </w:sdtContent>
  </w:sdt>
  <w:p w14:paraId="61C4647C" w14:textId="77777777" w:rsidR="009B3058" w:rsidRDefault="009B305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E9B8E" w14:textId="77777777" w:rsidR="00567F02" w:rsidRDefault="00567F02">
      <w:pPr>
        <w:spacing w:line="240" w:lineRule="auto"/>
      </w:pPr>
      <w:r>
        <w:separator/>
      </w:r>
    </w:p>
  </w:footnote>
  <w:footnote w:type="continuationSeparator" w:id="0">
    <w:p w14:paraId="65FAB503" w14:textId="77777777" w:rsidR="00567F02" w:rsidRDefault="00567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21EF3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05245"/>
    <w:rsid w:val="003179FD"/>
    <w:rsid w:val="00326A67"/>
    <w:rsid w:val="004343BC"/>
    <w:rsid w:val="004505FB"/>
    <w:rsid w:val="0045407A"/>
    <w:rsid w:val="0046610E"/>
    <w:rsid w:val="00483438"/>
    <w:rsid w:val="00485079"/>
    <w:rsid w:val="00567F02"/>
    <w:rsid w:val="0059466C"/>
    <w:rsid w:val="005E74EC"/>
    <w:rsid w:val="005F1282"/>
    <w:rsid w:val="005F17E7"/>
    <w:rsid w:val="00602C65"/>
    <w:rsid w:val="006746B3"/>
    <w:rsid w:val="006930FF"/>
    <w:rsid w:val="006A2599"/>
    <w:rsid w:val="006A55DC"/>
    <w:rsid w:val="0073582C"/>
    <w:rsid w:val="0078125D"/>
    <w:rsid w:val="007A6EF8"/>
    <w:rsid w:val="007C37B2"/>
    <w:rsid w:val="007D3009"/>
    <w:rsid w:val="007D780E"/>
    <w:rsid w:val="0082309D"/>
    <w:rsid w:val="008724DD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D155B"/>
    <w:rsid w:val="009F034A"/>
    <w:rsid w:val="009F1027"/>
    <w:rsid w:val="00A2217C"/>
    <w:rsid w:val="00A81C3B"/>
    <w:rsid w:val="00A91373"/>
    <w:rsid w:val="00AB565C"/>
    <w:rsid w:val="00AF4D3D"/>
    <w:rsid w:val="00B045AF"/>
    <w:rsid w:val="00B62810"/>
    <w:rsid w:val="00C17409"/>
    <w:rsid w:val="00C26CBF"/>
    <w:rsid w:val="00C30977"/>
    <w:rsid w:val="00C47157"/>
    <w:rsid w:val="00C61D97"/>
    <w:rsid w:val="00CA3461"/>
    <w:rsid w:val="00CB28BC"/>
    <w:rsid w:val="00D66685"/>
    <w:rsid w:val="00D66C14"/>
    <w:rsid w:val="00DD4D17"/>
    <w:rsid w:val="00DD70C6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E05E-8969-4999-8599-BA258538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25</Pages>
  <Words>3677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76</cp:revision>
  <dcterms:created xsi:type="dcterms:W3CDTF">2022-11-17T17:19:00Z</dcterms:created>
  <dcterms:modified xsi:type="dcterms:W3CDTF">2022-11-25T11:13:00Z</dcterms:modified>
</cp:coreProperties>
</file>