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E890" w14:textId="77777777" w:rsidR="00226970" w:rsidRDefault="00000000">
      <w:pPr>
        <w:pStyle w:val="Heading1"/>
      </w:pPr>
      <w:r>
        <w:t>Global Battery Energy Storage System Market Segmentation (USD Billion, 2025-2035)</w:t>
      </w:r>
    </w:p>
    <w:p w14:paraId="04AED5B3" w14:textId="77777777" w:rsidR="00226970" w:rsidRDefault="00000000">
      <w:pPr>
        <w:pStyle w:val="Heading2"/>
      </w:pPr>
      <w:r>
        <w:t>By Battery Type</w:t>
      </w:r>
    </w:p>
    <w:p w14:paraId="4248F165" w14:textId="77777777" w:rsidR="00226970" w:rsidRDefault="00000000">
      <w:pPr>
        <w:pStyle w:val="ListBullet"/>
      </w:pPr>
      <w:r>
        <w:t>Lithium-ion Battery</w:t>
      </w:r>
    </w:p>
    <w:p w14:paraId="03618078" w14:textId="77777777" w:rsidR="00226970" w:rsidRDefault="00000000">
      <w:pPr>
        <w:pStyle w:val="ListBullet"/>
      </w:pPr>
      <w:r>
        <w:t>Lead-acid Battery</w:t>
      </w:r>
    </w:p>
    <w:p w14:paraId="4E8A27BA" w14:textId="77777777" w:rsidR="00226970" w:rsidRDefault="00000000">
      <w:pPr>
        <w:pStyle w:val="ListBullet"/>
      </w:pPr>
      <w:r>
        <w:t>Flow Battery</w:t>
      </w:r>
    </w:p>
    <w:p w14:paraId="2522E3E3" w14:textId="77777777" w:rsidR="00226970" w:rsidRDefault="00000000">
      <w:pPr>
        <w:pStyle w:val="ListBullet"/>
      </w:pPr>
      <w:r>
        <w:t>Sodium-sulfur Battery</w:t>
      </w:r>
    </w:p>
    <w:p w14:paraId="468D42B9" w14:textId="77777777" w:rsidR="00226970" w:rsidRDefault="00000000">
      <w:pPr>
        <w:pStyle w:val="ListBullet"/>
      </w:pPr>
      <w:r>
        <w:t>Nickel-based Battery</w:t>
      </w:r>
    </w:p>
    <w:p w14:paraId="34458315" w14:textId="77777777" w:rsidR="00226970" w:rsidRDefault="00000000">
      <w:pPr>
        <w:pStyle w:val="ListBullet"/>
      </w:pPr>
      <w:r>
        <w:t>Others</w:t>
      </w:r>
    </w:p>
    <w:p w14:paraId="69C2883B" w14:textId="77777777" w:rsidR="00226970" w:rsidRDefault="00000000">
      <w:pPr>
        <w:pStyle w:val="Heading2"/>
      </w:pPr>
      <w:r>
        <w:t>By Connection Type</w:t>
      </w:r>
    </w:p>
    <w:p w14:paraId="66F123D6" w14:textId="77777777" w:rsidR="00226970" w:rsidRDefault="00000000">
      <w:pPr>
        <w:pStyle w:val="ListBullet"/>
      </w:pPr>
      <w:r>
        <w:t>On-grid</w:t>
      </w:r>
    </w:p>
    <w:p w14:paraId="4BF8B1DE" w14:textId="77777777" w:rsidR="00226970" w:rsidRDefault="00000000">
      <w:pPr>
        <w:pStyle w:val="ListBullet"/>
      </w:pPr>
      <w:r>
        <w:t>Off-grid</w:t>
      </w:r>
    </w:p>
    <w:p w14:paraId="1ECC656C" w14:textId="77777777" w:rsidR="00226970" w:rsidRDefault="00000000">
      <w:pPr>
        <w:pStyle w:val="Heading2"/>
      </w:pPr>
      <w:r>
        <w:t>By Application</w:t>
      </w:r>
    </w:p>
    <w:p w14:paraId="225B968F" w14:textId="77777777" w:rsidR="00226970" w:rsidRDefault="00000000">
      <w:pPr>
        <w:pStyle w:val="ListBullet"/>
      </w:pPr>
      <w:r>
        <w:t>Residential</w:t>
      </w:r>
    </w:p>
    <w:p w14:paraId="2EABB9E0" w14:textId="77777777" w:rsidR="00226970" w:rsidRDefault="00000000">
      <w:pPr>
        <w:pStyle w:val="ListBullet"/>
      </w:pPr>
      <w:r>
        <w:t>Commercial &amp; Industrial</w:t>
      </w:r>
    </w:p>
    <w:p w14:paraId="0D069C9F" w14:textId="77777777" w:rsidR="00226970" w:rsidRDefault="00000000">
      <w:pPr>
        <w:pStyle w:val="ListBullet"/>
      </w:pPr>
      <w:r>
        <w:t>Utility-scale</w:t>
      </w:r>
    </w:p>
    <w:p w14:paraId="51B335DC" w14:textId="77777777" w:rsidR="00226970" w:rsidRDefault="00000000">
      <w:pPr>
        <w:pStyle w:val="ListBullet"/>
      </w:pPr>
      <w:r>
        <w:t>Data Centers</w:t>
      </w:r>
    </w:p>
    <w:p w14:paraId="6326184E" w14:textId="77777777" w:rsidR="00226970" w:rsidRDefault="00000000">
      <w:pPr>
        <w:pStyle w:val="ListBullet"/>
      </w:pPr>
      <w:r>
        <w:t>Electric Vehicle Charging Infrastructure</w:t>
      </w:r>
    </w:p>
    <w:p w14:paraId="477F4AF1" w14:textId="77777777" w:rsidR="00226970" w:rsidRDefault="00000000">
      <w:pPr>
        <w:pStyle w:val="Heading2"/>
      </w:pPr>
      <w:r>
        <w:t>By Energy Capacity</w:t>
      </w:r>
    </w:p>
    <w:p w14:paraId="796ADAE3" w14:textId="77777777" w:rsidR="00226970" w:rsidRDefault="00000000">
      <w:pPr>
        <w:pStyle w:val="ListBullet"/>
      </w:pPr>
      <w:r>
        <w:t>Below 100 MWh</w:t>
      </w:r>
    </w:p>
    <w:p w14:paraId="135C206B" w14:textId="77777777" w:rsidR="00226970" w:rsidRDefault="00000000">
      <w:pPr>
        <w:pStyle w:val="ListBullet"/>
      </w:pPr>
      <w:r>
        <w:t>100–500 MWh</w:t>
      </w:r>
    </w:p>
    <w:p w14:paraId="5054565A" w14:textId="77777777" w:rsidR="00226970" w:rsidRDefault="00000000">
      <w:pPr>
        <w:pStyle w:val="ListBullet"/>
      </w:pPr>
      <w:r>
        <w:t>Above 500 MWh</w:t>
      </w:r>
    </w:p>
    <w:p w14:paraId="4E819E59" w14:textId="77777777" w:rsidR="00226970" w:rsidRDefault="00000000">
      <w:pPr>
        <w:pStyle w:val="Heading2"/>
      </w:pPr>
      <w:r>
        <w:t>By Ownership Model</w:t>
      </w:r>
    </w:p>
    <w:p w14:paraId="5DA4AC80" w14:textId="77777777" w:rsidR="00226970" w:rsidRDefault="00000000">
      <w:pPr>
        <w:pStyle w:val="ListBullet"/>
      </w:pPr>
      <w:r>
        <w:t>Customer-owned</w:t>
      </w:r>
    </w:p>
    <w:p w14:paraId="117A811F" w14:textId="77777777" w:rsidR="00226970" w:rsidRDefault="00000000">
      <w:pPr>
        <w:pStyle w:val="ListBullet"/>
      </w:pPr>
      <w:r>
        <w:t>Third-party-owned</w:t>
      </w:r>
    </w:p>
    <w:p w14:paraId="23B834D7" w14:textId="77777777" w:rsidR="00226970" w:rsidRDefault="00000000">
      <w:pPr>
        <w:pStyle w:val="ListBullet"/>
      </w:pPr>
      <w:r>
        <w:t>Utility-owned</w:t>
      </w:r>
    </w:p>
    <w:p w14:paraId="6CCFE6E2" w14:textId="77777777" w:rsidR="00226970" w:rsidRDefault="00000000">
      <w:pPr>
        <w:pStyle w:val="Heading2"/>
      </w:pPr>
      <w:r>
        <w:t>By End User</w:t>
      </w:r>
    </w:p>
    <w:p w14:paraId="7ED95094" w14:textId="77777777" w:rsidR="00226970" w:rsidRDefault="00000000">
      <w:pPr>
        <w:pStyle w:val="ListBullet"/>
      </w:pPr>
      <w:r>
        <w:t>Power Utilities</w:t>
      </w:r>
    </w:p>
    <w:p w14:paraId="71F52DEE" w14:textId="77777777" w:rsidR="00226970" w:rsidRDefault="00000000">
      <w:pPr>
        <w:pStyle w:val="ListBullet"/>
      </w:pPr>
      <w:r>
        <w:t>Renewable Energy Providers</w:t>
      </w:r>
    </w:p>
    <w:p w14:paraId="65F00084" w14:textId="77777777" w:rsidR="00226970" w:rsidRDefault="00000000">
      <w:pPr>
        <w:pStyle w:val="ListBullet"/>
      </w:pPr>
      <w:r>
        <w:t>Industrial Sector</w:t>
      </w:r>
    </w:p>
    <w:p w14:paraId="4350A7F0" w14:textId="77777777" w:rsidR="00226970" w:rsidRDefault="00000000">
      <w:pPr>
        <w:pStyle w:val="ListBullet"/>
      </w:pPr>
      <w:r>
        <w:t>Residential Consumers</w:t>
      </w:r>
    </w:p>
    <w:p w14:paraId="08476FD1" w14:textId="77777777" w:rsidR="00226970" w:rsidRDefault="00000000">
      <w:pPr>
        <w:pStyle w:val="ListBullet"/>
      </w:pPr>
      <w:r>
        <w:t>Government &amp; Defense</w:t>
      </w:r>
    </w:p>
    <w:p w14:paraId="37995F4C" w14:textId="77777777" w:rsidR="00226970" w:rsidRDefault="00000000">
      <w:pPr>
        <w:pStyle w:val="Heading2"/>
      </w:pPr>
      <w:r>
        <w:t>By Region</w:t>
      </w:r>
    </w:p>
    <w:p w14:paraId="11E9AD32" w14:textId="77777777" w:rsidR="00226970" w:rsidRDefault="00000000">
      <w:pPr>
        <w:pStyle w:val="ListBullet"/>
      </w:pPr>
      <w:r>
        <w:t>North America</w:t>
      </w:r>
    </w:p>
    <w:p w14:paraId="4CA60EAF" w14:textId="77777777" w:rsidR="00226970" w:rsidRDefault="00000000">
      <w:pPr>
        <w:pStyle w:val="ListBullet"/>
      </w:pPr>
      <w:r>
        <w:lastRenderedPageBreak/>
        <w:t>United States</w:t>
      </w:r>
    </w:p>
    <w:p w14:paraId="198E4045" w14:textId="77777777" w:rsidR="00226970" w:rsidRDefault="00000000">
      <w:pPr>
        <w:pStyle w:val="ListBullet"/>
      </w:pPr>
      <w:r>
        <w:t>Canada</w:t>
      </w:r>
    </w:p>
    <w:p w14:paraId="014451BD" w14:textId="77777777" w:rsidR="00226970" w:rsidRDefault="00000000">
      <w:pPr>
        <w:pStyle w:val="ListBullet"/>
      </w:pPr>
      <w:r>
        <w:t>Mexico</w:t>
      </w:r>
    </w:p>
    <w:p w14:paraId="35007BC1" w14:textId="77777777" w:rsidR="00226970" w:rsidRDefault="00000000">
      <w:pPr>
        <w:pStyle w:val="ListBullet"/>
      </w:pPr>
      <w:r>
        <w:t>Europe</w:t>
      </w:r>
    </w:p>
    <w:p w14:paraId="6E986883" w14:textId="77777777" w:rsidR="00226970" w:rsidRDefault="00000000">
      <w:pPr>
        <w:pStyle w:val="ListBullet"/>
      </w:pPr>
      <w:r>
        <w:t>Germany</w:t>
      </w:r>
    </w:p>
    <w:p w14:paraId="67EE6748" w14:textId="77777777" w:rsidR="00226970" w:rsidRDefault="00000000">
      <w:pPr>
        <w:pStyle w:val="ListBullet"/>
      </w:pPr>
      <w:r>
        <w:t>United Kingdom</w:t>
      </w:r>
    </w:p>
    <w:p w14:paraId="3FFD16CA" w14:textId="77777777" w:rsidR="00226970" w:rsidRDefault="00000000">
      <w:pPr>
        <w:pStyle w:val="ListBullet"/>
      </w:pPr>
      <w:r>
        <w:t>France</w:t>
      </w:r>
    </w:p>
    <w:p w14:paraId="6B6010DB" w14:textId="77777777" w:rsidR="00226970" w:rsidRDefault="00000000">
      <w:pPr>
        <w:pStyle w:val="ListBullet"/>
      </w:pPr>
      <w:r>
        <w:t>Italy</w:t>
      </w:r>
    </w:p>
    <w:p w14:paraId="5F739AB7" w14:textId="77777777" w:rsidR="00226970" w:rsidRDefault="00000000">
      <w:pPr>
        <w:pStyle w:val="ListBullet"/>
      </w:pPr>
      <w:r>
        <w:t>Spain</w:t>
      </w:r>
    </w:p>
    <w:p w14:paraId="710353BE" w14:textId="77777777" w:rsidR="00226970" w:rsidRDefault="00000000">
      <w:pPr>
        <w:pStyle w:val="ListBullet"/>
      </w:pPr>
      <w:r>
        <w:t>Asia-Pacific</w:t>
      </w:r>
    </w:p>
    <w:p w14:paraId="27B08421" w14:textId="77777777" w:rsidR="00226970" w:rsidRDefault="00000000">
      <w:pPr>
        <w:pStyle w:val="ListBullet"/>
      </w:pPr>
      <w:r>
        <w:t>China</w:t>
      </w:r>
    </w:p>
    <w:p w14:paraId="39C9B33D" w14:textId="77777777" w:rsidR="00226970" w:rsidRDefault="00000000">
      <w:pPr>
        <w:pStyle w:val="ListBullet"/>
      </w:pPr>
      <w:r>
        <w:t>Japan</w:t>
      </w:r>
    </w:p>
    <w:p w14:paraId="09EE0F6B" w14:textId="77777777" w:rsidR="00226970" w:rsidRDefault="00000000">
      <w:pPr>
        <w:pStyle w:val="ListBullet"/>
      </w:pPr>
      <w:r>
        <w:t>India</w:t>
      </w:r>
    </w:p>
    <w:p w14:paraId="0CD230B3" w14:textId="77777777" w:rsidR="00226970" w:rsidRDefault="00000000">
      <w:pPr>
        <w:pStyle w:val="ListBullet"/>
      </w:pPr>
      <w:r>
        <w:t>South Korea</w:t>
      </w:r>
    </w:p>
    <w:p w14:paraId="76A2F8AC" w14:textId="77777777" w:rsidR="00226970" w:rsidRDefault="00000000">
      <w:pPr>
        <w:pStyle w:val="ListBullet"/>
      </w:pPr>
      <w:r>
        <w:t>Australia</w:t>
      </w:r>
    </w:p>
    <w:p w14:paraId="652AE0C8" w14:textId="77777777" w:rsidR="00226970" w:rsidRDefault="00000000">
      <w:pPr>
        <w:pStyle w:val="ListBullet"/>
      </w:pPr>
      <w:r>
        <w:t>South America</w:t>
      </w:r>
    </w:p>
    <w:p w14:paraId="38FE5410" w14:textId="77777777" w:rsidR="00226970" w:rsidRDefault="00000000">
      <w:pPr>
        <w:pStyle w:val="ListBullet"/>
      </w:pPr>
      <w:r>
        <w:t>Brazil</w:t>
      </w:r>
    </w:p>
    <w:p w14:paraId="0FEBC9E0" w14:textId="77777777" w:rsidR="00226970" w:rsidRDefault="00000000">
      <w:pPr>
        <w:pStyle w:val="ListBullet"/>
      </w:pPr>
      <w:r>
        <w:t>Argentina</w:t>
      </w:r>
    </w:p>
    <w:p w14:paraId="63AC449B" w14:textId="77777777" w:rsidR="00226970" w:rsidRDefault="00000000">
      <w:pPr>
        <w:pStyle w:val="ListBullet"/>
      </w:pPr>
      <w:r>
        <w:t>Middle East &amp; Africa</w:t>
      </w:r>
    </w:p>
    <w:p w14:paraId="62D0CAEB" w14:textId="77777777" w:rsidR="00226970" w:rsidRDefault="00000000">
      <w:pPr>
        <w:pStyle w:val="ListBullet"/>
      </w:pPr>
      <w:r>
        <w:t>UAE</w:t>
      </w:r>
    </w:p>
    <w:p w14:paraId="7F0586B0" w14:textId="77777777" w:rsidR="00226970" w:rsidRDefault="00000000">
      <w:pPr>
        <w:pStyle w:val="ListBullet"/>
      </w:pPr>
      <w:r>
        <w:t>Saudi Arabia</w:t>
      </w:r>
    </w:p>
    <w:p w14:paraId="120D0EAB" w14:textId="77777777" w:rsidR="00226970" w:rsidRDefault="00000000">
      <w:pPr>
        <w:pStyle w:val="ListBullet"/>
      </w:pPr>
      <w:r>
        <w:t>South Africa</w:t>
      </w:r>
    </w:p>
    <w:p w14:paraId="19F86BFF" w14:textId="77777777" w:rsidR="00226970" w:rsidRDefault="00000000">
      <w:pPr>
        <w:pStyle w:val="ListBullet"/>
      </w:pPr>
      <w:r>
        <w:t>Egypt</w:t>
      </w:r>
    </w:p>
    <w:p w14:paraId="6A53E01D" w14:textId="77777777" w:rsidR="00226970" w:rsidRDefault="00000000">
      <w:pPr>
        <w:pStyle w:val="Heading2"/>
      </w:pPr>
      <w:r>
        <w:t>Key Players</w:t>
      </w:r>
    </w:p>
    <w:p w14:paraId="2EC9A781" w14:textId="77777777" w:rsidR="00226970" w:rsidRDefault="00000000">
      <w:pPr>
        <w:pStyle w:val="ListBullet"/>
      </w:pPr>
      <w:r>
        <w:t>Tesla Energy</w:t>
      </w:r>
    </w:p>
    <w:p w14:paraId="092BDA15" w14:textId="77777777" w:rsidR="00226970" w:rsidRDefault="00000000">
      <w:pPr>
        <w:pStyle w:val="ListBullet"/>
      </w:pPr>
      <w:r>
        <w:t>LG Energy Solution</w:t>
      </w:r>
    </w:p>
    <w:p w14:paraId="7259FF6A" w14:textId="77777777" w:rsidR="00226970" w:rsidRDefault="00000000">
      <w:pPr>
        <w:pStyle w:val="ListBullet"/>
      </w:pPr>
      <w:r>
        <w:t>Samsung SDI</w:t>
      </w:r>
    </w:p>
    <w:p w14:paraId="01A870A9" w14:textId="77777777" w:rsidR="00226970" w:rsidRDefault="00000000">
      <w:pPr>
        <w:pStyle w:val="ListBullet"/>
      </w:pPr>
      <w:r>
        <w:t>BYD Company</w:t>
      </w:r>
    </w:p>
    <w:p w14:paraId="35F6AD48" w14:textId="77777777" w:rsidR="00226970" w:rsidRDefault="00000000">
      <w:pPr>
        <w:pStyle w:val="ListBullet"/>
      </w:pPr>
      <w:r>
        <w:t>Panasonic Corporation</w:t>
      </w:r>
    </w:p>
    <w:p w14:paraId="53626B3D" w14:textId="77777777" w:rsidR="00226970" w:rsidRDefault="00000000">
      <w:pPr>
        <w:pStyle w:val="ListBullet"/>
      </w:pPr>
      <w:r>
        <w:t>Fluence Energy</w:t>
      </w:r>
    </w:p>
    <w:p w14:paraId="01B8DE6D" w14:textId="77777777" w:rsidR="00226970" w:rsidRDefault="00000000">
      <w:pPr>
        <w:pStyle w:val="ListBullet"/>
      </w:pPr>
      <w:r>
        <w:t>CATL</w:t>
      </w:r>
    </w:p>
    <w:p w14:paraId="2C39B837" w14:textId="77777777" w:rsidR="00226970" w:rsidRDefault="00000000">
      <w:pPr>
        <w:pStyle w:val="ListBullet"/>
      </w:pPr>
      <w:r>
        <w:t>Siemens Energy</w:t>
      </w:r>
    </w:p>
    <w:p w14:paraId="3D5CEDCD" w14:textId="77777777" w:rsidR="00226970" w:rsidRDefault="00000000">
      <w:pPr>
        <w:pStyle w:val="ListBullet"/>
      </w:pPr>
      <w:r>
        <w:t>ABB Ltd.</w:t>
      </w:r>
    </w:p>
    <w:p w14:paraId="311B9775" w14:textId="77777777" w:rsidR="00226970" w:rsidRDefault="00000000">
      <w:pPr>
        <w:pStyle w:val="ListBullet"/>
      </w:pPr>
      <w:r>
        <w:t>Hitachi Energy</w:t>
      </w:r>
    </w:p>
    <w:p w14:paraId="0A8E3002" w14:textId="77777777" w:rsidR="00226970" w:rsidRDefault="00000000">
      <w:pPr>
        <w:pStyle w:val="ListBullet"/>
      </w:pPr>
      <w:r>
        <w:t>General Electric</w:t>
      </w:r>
    </w:p>
    <w:p w14:paraId="0BD481AA" w14:textId="77777777" w:rsidR="00226970" w:rsidRDefault="00000000">
      <w:pPr>
        <w:pStyle w:val="ListBullet"/>
      </w:pPr>
      <w:r>
        <w:t>Saft Groupe</w:t>
      </w:r>
    </w:p>
    <w:p w14:paraId="727F0E6D" w14:textId="77777777" w:rsidR="00226970" w:rsidRDefault="00000000">
      <w:pPr>
        <w:pStyle w:val="ListBullet"/>
      </w:pPr>
      <w:r>
        <w:t>Schneider Electric</w:t>
      </w:r>
    </w:p>
    <w:p w14:paraId="0F596A3B" w14:textId="77777777" w:rsidR="00226970" w:rsidRDefault="00000000">
      <w:pPr>
        <w:pStyle w:val="ListBullet"/>
      </w:pPr>
      <w:r>
        <w:t>Enphase Energy</w:t>
      </w:r>
    </w:p>
    <w:p w14:paraId="0EA07AC1" w14:textId="77777777" w:rsidR="00F53E47" w:rsidRDefault="00000000">
      <w:pPr>
        <w:pStyle w:val="ListBullet"/>
      </w:pPr>
      <w:r>
        <w:t>NextEra Energy</w:t>
      </w:r>
      <w:r w:rsidR="00F53E47">
        <w:br/>
      </w:r>
      <w:r w:rsidR="00F53E47">
        <w:br/>
      </w:r>
    </w:p>
    <w:p w14:paraId="744D0C02" w14:textId="59F45CFF" w:rsidR="00226970" w:rsidRDefault="00F53E47" w:rsidP="00F53E47">
      <w:pPr>
        <w:pStyle w:val="Heading2"/>
      </w:pPr>
      <w:r>
        <w:lastRenderedPageBreak/>
        <w:t>Custom Requirements</w:t>
      </w:r>
    </w:p>
    <w:p w14:paraId="678BDCA7" w14:textId="2C65D761" w:rsidR="00F53E47" w:rsidRDefault="00F53E47" w:rsidP="00F53E47">
      <w:pPr>
        <w:pStyle w:val="ListParagraph"/>
        <w:numPr>
          <w:ilvl w:val="0"/>
          <w:numId w:val="10"/>
        </w:numPr>
      </w:pPr>
      <w:r>
        <w:t>India vs usa analysis</w:t>
      </w:r>
    </w:p>
    <w:p w14:paraId="77FE471A" w14:textId="77536D3B" w:rsidR="00F53E47" w:rsidRDefault="00F53E47" w:rsidP="00F53E47">
      <w:pPr>
        <w:pStyle w:val="ListParagraph"/>
        <w:numPr>
          <w:ilvl w:val="0"/>
          <w:numId w:val="10"/>
        </w:numPr>
      </w:pPr>
      <w:r>
        <w:t>Gaps in the industry.</w:t>
      </w:r>
    </w:p>
    <w:p w14:paraId="470CBC2C" w14:textId="2074F446" w:rsidR="00F53E47" w:rsidRPr="00F53E47" w:rsidRDefault="00F53E47" w:rsidP="00F53E47">
      <w:pPr>
        <w:pStyle w:val="ListParagraph"/>
        <w:numPr>
          <w:ilvl w:val="0"/>
          <w:numId w:val="10"/>
        </w:numPr>
      </w:pPr>
      <w:r>
        <w:t>Companies who failed and why.</w:t>
      </w:r>
    </w:p>
    <w:sectPr w:rsidR="00F53E47" w:rsidRPr="00F53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93F5A"/>
    <w:multiLevelType w:val="hybridMultilevel"/>
    <w:tmpl w:val="3D787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948145">
    <w:abstractNumId w:val="8"/>
  </w:num>
  <w:num w:numId="2" w16cid:durableId="1192760456">
    <w:abstractNumId w:val="6"/>
  </w:num>
  <w:num w:numId="3" w16cid:durableId="166096025">
    <w:abstractNumId w:val="5"/>
  </w:num>
  <w:num w:numId="4" w16cid:durableId="1408920629">
    <w:abstractNumId w:val="4"/>
  </w:num>
  <w:num w:numId="5" w16cid:durableId="1817599172">
    <w:abstractNumId w:val="7"/>
  </w:num>
  <w:num w:numId="6" w16cid:durableId="455486378">
    <w:abstractNumId w:val="3"/>
  </w:num>
  <w:num w:numId="7" w16cid:durableId="2130707064">
    <w:abstractNumId w:val="2"/>
  </w:num>
  <w:num w:numId="8" w16cid:durableId="525749059">
    <w:abstractNumId w:val="1"/>
  </w:num>
  <w:num w:numId="9" w16cid:durableId="1010959214">
    <w:abstractNumId w:val="0"/>
  </w:num>
  <w:num w:numId="10" w16cid:durableId="772361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70"/>
    <w:rsid w:val="0029639D"/>
    <w:rsid w:val="00326F90"/>
    <w:rsid w:val="00AA1D8D"/>
    <w:rsid w:val="00B47730"/>
    <w:rsid w:val="00CB0664"/>
    <w:rsid w:val="00DE5F04"/>
    <w:rsid w:val="00F53E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05347"/>
  <w14:defaultImageDpi w14:val="300"/>
  <w15:docId w15:val="{EEBC1F16-D577-4AC4-A40D-8927C2B9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 Kerzarkar</cp:lastModifiedBy>
  <cp:revision>2</cp:revision>
  <dcterms:created xsi:type="dcterms:W3CDTF">2013-12-23T23:15:00Z</dcterms:created>
  <dcterms:modified xsi:type="dcterms:W3CDTF">2026-05-13T14:58:00Z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aaee3a77-2b08-4c60-9741-695c566e7c85</vt:lpwstr>
  </property>
</Properties>
</file>