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Global Screw Market Segmentation (USD Billion, 2025-2035)</w:t>
      </w:r>
    </w:p>
    <w:p>
      <w:pPr>
        <w:pStyle w:val="Heading2"/>
      </w:pPr>
      <w:r>
        <w:t>By Product Type</w:t>
      </w:r>
    </w:p>
    <w:p>
      <w:pPr>
        <w:pStyle w:val="ListBullet"/>
      </w:pPr>
      <w:r>
        <w:rPr>
          <w:sz w:val="22"/>
        </w:rPr>
        <w:t>Machine Screws</w:t>
      </w:r>
    </w:p>
    <w:p>
      <w:pPr>
        <w:pStyle w:val="ListBullet"/>
      </w:pPr>
      <w:r>
        <w:rPr>
          <w:sz w:val="22"/>
        </w:rPr>
        <w:t>Wood Screws</w:t>
      </w:r>
    </w:p>
    <w:p>
      <w:pPr>
        <w:pStyle w:val="ListBullet"/>
      </w:pPr>
      <w:r>
        <w:rPr>
          <w:sz w:val="22"/>
        </w:rPr>
        <w:t>Self-tapping Screws</w:t>
      </w:r>
    </w:p>
    <w:p>
      <w:pPr>
        <w:pStyle w:val="ListBullet"/>
      </w:pPr>
      <w:r>
        <w:rPr>
          <w:sz w:val="22"/>
        </w:rPr>
        <w:t>Concrete Screws</w:t>
      </w:r>
    </w:p>
    <w:p>
      <w:pPr>
        <w:pStyle w:val="ListBullet"/>
      </w:pPr>
      <w:r>
        <w:rPr>
          <w:sz w:val="22"/>
        </w:rPr>
        <w:t>Sheet Metal Screws</w:t>
      </w:r>
    </w:p>
    <w:p>
      <w:pPr>
        <w:pStyle w:val="ListBullet"/>
      </w:pPr>
      <w:r>
        <w:rPr>
          <w:sz w:val="22"/>
        </w:rPr>
        <w:t>Drywall Screws</w:t>
      </w:r>
    </w:p>
    <w:p>
      <w:pPr>
        <w:pStyle w:val="Heading2"/>
      </w:pPr>
      <w:r>
        <w:t>By Material Type</w:t>
      </w:r>
    </w:p>
    <w:p>
      <w:pPr>
        <w:pStyle w:val="ListBullet"/>
      </w:pPr>
      <w:r>
        <w:rPr>
          <w:sz w:val="22"/>
        </w:rPr>
        <w:t>Stainless Steel</w:t>
      </w:r>
    </w:p>
    <w:p>
      <w:pPr>
        <w:pStyle w:val="ListBullet"/>
      </w:pPr>
      <w:r>
        <w:rPr>
          <w:sz w:val="22"/>
        </w:rPr>
        <w:t>Carbon Steel</w:t>
      </w:r>
    </w:p>
    <w:p>
      <w:pPr>
        <w:pStyle w:val="ListBullet"/>
      </w:pPr>
      <w:r>
        <w:rPr>
          <w:sz w:val="22"/>
        </w:rPr>
        <w:t>Brass</w:t>
      </w:r>
    </w:p>
    <w:p>
      <w:pPr>
        <w:pStyle w:val="ListBullet"/>
      </w:pPr>
      <w:r>
        <w:rPr>
          <w:sz w:val="22"/>
        </w:rPr>
        <w:t>Aluminum</w:t>
      </w:r>
    </w:p>
    <w:p>
      <w:pPr>
        <w:pStyle w:val="ListBullet"/>
      </w:pPr>
      <w:r>
        <w:rPr>
          <w:sz w:val="22"/>
        </w:rPr>
        <w:t>Titanium</w:t>
      </w:r>
    </w:p>
    <w:p>
      <w:pPr>
        <w:pStyle w:val="ListBullet"/>
      </w:pPr>
      <w:r>
        <w:rPr>
          <w:sz w:val="22"/>
        </w:rPr>
        <w:t>Plastic</w:t>
      </w:r>
    </w:p>
    <w:p>
      <w:pPr>
        <w:pStyle w:val="Heading2"/>
      </w:pPr>
      <w:r>
        <w:t>By Head Type</w:t>
      </w:r>
    </w:p>
    <w:p>
      <w:pPr>
        <w:pStyle w:val="ListBullet"/>
      </w:pPr>
      <w:r>
        <w:rPr>
          <w:sz w:val="22"/>
        </w:rPr>
        <w:t>Flat Head</w:t>
      </w:r>
    </w:p>
    <w:p>
      <w:pPr>
        <w:pStyle w:val="ListBullet"/>
      </w:pPr>
      <w:r>
        <w:rPr>
          <w:sz w:val="22"/>
        </w:rPr>
        <w:t>Round Head</w:t>
      </w:r>
    </w:p>
    <w:p>
      <w:pPr>
        <w:pStyle w:val="ListBullet"/>
      </w:pPr>
      <w:r>
        <w:rPr>
          <w:sz w:val="22"/>
        </w:rPr>
        <w:t>Hex Head</w:t>
      </w:r>
    </w:p>
    <w:p>
      <w:pPr>
        <w:pStyle w:val="ListBullet"/>
      </w:pPr>
      <w:r>
        <w:rPr>
          <w:sz w:val="22"/>
        </w:rPr>
        <w:t>Pan Head</w:t>
      </w:r>
    </w:p>
    <w:p>
      <w:pPr>
        <w:pStyle w:val="ListBullet"/>
      </w:pPr>
      <w:r>
        <w:rPr>
          <w:sz w:val="22"/>
        </w:rPr>
        <w:t>Socket Head</w:t>
      </w:r>
    </w:p>
    <w:p>
      <w:pPr>
        <w:pStyle w:val="Heading2"/>
      </w:pPr>
      <w:r>
        <w:t>By Drive Type</w:t>
      </w:r>
    </w:p>
    <w:p>
      <w:pPr>
        <w:pStyle w:val="ListBullet"/>
      </w:pPr>
      <w:r>
        <w:rPr>
          <w:sz w:val="22"/>
        </w:rPr>
        <w:t>Phillips</w:t>
      </w:r>
    </w:p>
    <w:p>
      <w:pPr>
        <w:pStyle w:val="ListBullet"/>
      </w:pPr>
      <w:r>
        <w:rPr>
          <w:sz w:val="22"/>
        </w:rPr>
        <w:t>Slotted</w:t>
      </w:r>
    </w:p>
    <w:p>
      <w:pPr>
        <w:pStyle w:val="ListBullet"/>
      </w:pPr>
      <w:r>
        <w:rPr>
          <w:sz w:val="22"/>
        </w:rPr>
        <w:t>Torx</w:t>
      </w:r>
    </w:p>
    <w:p>
      <w:pPr>
        <w:pStyle w:val="ListBullet"/>
      </w:pPr>
      <w:r>
        <w:rPr>
          <w:sz w:val="22"/>
        </w:rPr>
        <w:t>Hex</w:t>
      </w:r>
    </w:p>
    <w:p>
      <w:pPr>
        <w:pStyle w:val="ListBullet"/>
      </w:pPr>
      <w:r>
        <w:rPr>
          <w:sz w:val="22"/>
        </w:rPr>
        <w:t>Pozidriv</w:t>
      </w:r>
    </w:p>
    <w:p>
      <w:pPr>
        <w:pStyle w:val="Heading2"/>
      </w:pPr>
      <w:r>
        <w:t>By End-use Industry</w:t>
      </w:r>
    </w:p>
    <w:p>
      <w:pPr>
        <w:pStyle w:val="ListBullet"/>
      </w:pPr>
      <w:r>
        <w:rPr>
          <w:sz w:val="22"/>
        </w:rPr>
        <w:t>Construction</w:t>
      </w:r>
    </w:p>
    <w:p>
      <w:pPr>
        <w:pStyle w:val="ListBullet"/>
      </w:pPr>
      <w:r>
        <w:rPr>
          <w:sz w:val="22"/>
        </w:rPr>
        <w:t>Automotive</w:t>
      </w:r>
    </w:p>
    <w:p>
      <w:pPr>
        <w:pStyle w:val="ListBullet"/>
      </w:pPr>
      <w:r>
        <w:rPr>
          <w:sz w:val="22"/>
        </w:rPr>
        <w:t>Aerospace</w:t>
      </w:r>
    </w:p>
    <w:p>
      <w:pPr>
        <w:pStyle w:val="ListBullet"/>
      </w:pPr>
      <w:r>
        <w:rPr>
          <w:sz w:val="22"/>
        </w:rPr>
        <w:t>Electronics</w:t>
      </w:r>
    </w:p>
    <w:p>
      <w:pPr>
        <w:pStyle w:val="ListBullet"/>
      </w:pPr>
      <w:r>
        <w:rPr>
          <w:sz w:val="22"/>
        </w:rPr>
        <w:t>Furniture</w:t>
      </w:r>
    </w:p>
    <w:p>
      <w:pPr>
        <w:pStyle w:val="ListBullet"/>
      </w:pPr>
      <w:r>
        <w:rPr>
          <w:sz w:val="22"/>
        </w:rPr>
        <w:t>Industrial Machinery</w:t>
      </w:r>
    </w:p>
    <w:p>
      <w:pPr>
        <w:pStyle w:val="Heading2"/>
      </w:pPr>
      <w:r>
        <w:t>By Distribution Channel</w:t>
      </w:r>
    </w:p>
    <w:p>
      <w:pPr>
        <w:pStyle w:val="ListBullet"/>
      </w:pPr>
      <w:r>
        <w:rPr>
          <w:sz w:val="22"/>
        </w:rPr>
        <w:t>Direct Sales</w:t>
      </w:r>
    </w:p>
    <w:p>
      <w:pPr>
        <w:pStyle w:val="ListBullet"/>
      </w:pPr>
      <w:r>
        <w:rPr>
          <w:sz w:val="22"/>
        </w:rPr>
        <w:t>Distributors &amp; Wholesalers</w:t>
      </w:r>
    </w:p>
    <w:p>
      <w:pPr>
        <w:pStyle w:val="ListBullet"/>
      </w:pPr>
      <w:r>
        <w:rPr>
          <w:sz w:val="22"/>
        </w:rPr>
        <w:t>Online Retail</w:t>
      </w:r>
    </w:p>
    <w:p>
      <w:pPr>
        <w:pStyle w:val="ListBullet"/>
      </w:pPr>
      <w:r>
        <w:rPr>
          <w:sz w:val="22"/>
        </w:rPr>
        <w:t>Hardware Stores</w:t>
      </w:r>
    </w:p>
    <w:p>
      <w:pPr>
        <w:pStyle w:val="Heading2"/>
      </w:pPr>
      <w:r>
        <w:t>By Region</w:t>
      </w:r>
    </w:p>
    <w:p>
      <w:pPr>
        <w:pStyle w:val="ListBullet"/>
      </w:pPr>
      <w:r>
        <w:rPr>
          <w:sz w:val="22"/>
        </w:rPr>
        <w:t>North America</w:t>
      </w:r>
    </w:p>
    <w:p>
      <w:pPr>
        <w:pStyle w:val="ListBullet"/>
      </w:pPr>
      <w:r>
        <w:rPr>
          <w:sz w:val="22"/>
        </w:rPr>
        <w:t>United States</w:t>
      </w:r>
    </w:p>
    <w:p>
      <w:pPr>
        <w:pStyle w:val="ListBullet"/>
      </w:pPr>
      <w:r>
        <w:rPr>
          <w:sz w:val="22"/>
        </w:rPr>
        <w:t>Canada</w:t>
      </w:r>
    </w:p>
    <w:p>
      <w:pPr>
        <w:pStyle w:val="ListBullet"/>
      </w:pPr>
      <w:r>
        <w:rPr>
          <w:sz w:val="22"/>
        </w:rPr>
        <w:t>Mexico</w:t>
      </w:r>
    </w:p>
    <w:p>
      <w:pPr>
        <w:pStyle w:val="ListBullet"/>
      </w:pPr>
      <w:r>
        <w:rPr>
          <w:sz w:val="22"/>
        </w:rPr>
        <w:t>Europe</w:t>
      </w:r>
    </w:p>
    <w:p>
      <w:pPr>
        <w:pStyle w:val="ListBullet"/>
      </w:pPr>
      <w:r>
        <w:rPr>
          <w:sz w:val="22"/>
        </w:rPr>
        <w:t>Germany</w:t>
      </w:r>
    </w:p>
    <w:p>
      <w:pPr>
        <w:pStyle w:val="ListBullet"/>
      </w:pPr>
      <w:r>
        <w:rPr>
          <w:sz w:val="22"/>
        </w:rPr>
        <w:t>United Kingdom</w:t>
      </w:r>
    </w:p>
    <w:p>
      <w:pPr>
        <w:pStyle w:val="ListBullet"/>
      </w:pPr>
      <w:r>
        <w:rPr>
          <w:sz w:val="22"/>
        </w:rPr>
        <w:t>France</w:t>
      </w:r>
    </w:p>
    <w:p>
      <w:pPr>
        <w:pStyle w:val="ListBullet"/>
      </w:pPr>
      <w:r>
        <w:rPr>
          <w:sz w:val="22"/>
        </w:rPr>
        <w:t>Italy</w:t>
      </w:r>
    </w:p>
    <w:p>
      <w:pPr>
        <w:pStyle w:val="ListBullet"/>
      </w:pPr>
      <w:r>
        <w:rPr>
          <w:sz w:val="22"/>
        </w:rPr>
        <w:t>Spain</w:t>
      </w:r>
    </w:p>
    <w:p>
      <w:pPr>
        <w:pStyle w:val="ListBullet"/>
      </w:pPr>
      <w:r>
        <w:rPr>
          <w:sz w:val="22"/>
        </w:rPr>
        <w:t>Asia-Pacific</w:t>
      </w:r>
    </w:p>
    <w:p>
      <w:pPr>
        <w:pStyle w:val="ListBullet"/>
      </w:pPr>
      <w:r>
        <w:rPr>
          <w:sz w:val="22"/>
        </w:rPr>
        <w:t>China</w:t>
      </w:r>
    </w:p>
    <w:p>
      <w:pPr>
        <w:pStyle w:val="ListBullet"/>
      </w:pPr>
      <w:r>
        <w:rPr>
          <w:sz w:val="22"/>
        </w:rPr>
        <w:t>Japan</w:t>
      </w:r>
    </w:p>
    <w:p>
      <w:pPr>
        <w:pStyle w:val="ListBullet"/>
      </w:pPr>
      <w:r>
        <w:rPr>
          <w:sz w:val="22"/>
        </w:rPr>
        <w:t>India</w:t>
      </w:r>
    </w:p>
    <w:p>
      <w:pPr>
        <w:pStyle w:val="ListBullet"/>
      </w:pPr>
      <w:r>
        <w:rPr>
          <w:sz w:val="22"/>
        </w:rPr>
        <w:t>South Korea</w:t>
      </w:r>
    </w:p>
    <w:p>
      <w:pPr>
        <w:pStyle w:val="ListBullet"/>
      </w:pPr>
      <w:r>
        <w:rPr>
          <w:sz w:val="22"/>
        </w:rPr>
        <w:t>Australia</w:t>
      </w:r>
    </w:p>
    <w:p>
      <w:pPr>
        <w:pStyle w:val="ListBullet"/>
      </w:pPr>
      <w:r>
        <w:rPr>
          <w:sz w:val="22"/>
        </w:rPr>
        <w:t>South America</w:t>
      </w:r>
    </w:p>
    <w:p>
      <w:pPr>
        <w:pStyle w:val="ListBullet"/>
      </w:pPr>
      <w:r>
        <w:rPr>
          <w:sz w:val="22"/>
        </w:rPr>
        <w:t>Brazil</w:t>
      </w:r>
    </w:p>
    <w:p>
      <w:pPr>
        <w:pStyle w:val="ListBullet"/>
      </w:pPr>
      <w:r>
        <w:rPr>
          <w:sz w:val="22"/>
        </w:rPr>
        <w:t>Argentina</w:t>
      </w:r>
    </w:p>
    <w:p>
      <w:pPr>
        <w:pStyle w:val="ListBullet"/>
      </w:pPr>
      <w:r>
        <w:rPr>
          <w:sz w:val="22"/>
        </w:rPr>
        <w:t>Middle East &amp; Africa</w:t>
      </w:r>
    </w:p>
    <w:p>
      <w:pPr>
        <w:pStyle w:val="ListBullet"/>
      </w:pPr>
      <w:r>
        <w:rPr>
          <w:sz w:val="22"/>
        </w:rPr>
        <w:t>UAE</w:t>
      </w:r>
    </w:p>
    <w:p>
      <w:pPr>
        <w:pStyle w:val="ListBullet"/>
      </w:pPr>
      <w:r>
        <w:rPr>
          <w:sz w:val="22"/>
        </w:rPr>
        <w:t>Saudi Arabia</w:t>
      </w:r>
    </w:p>
    <w:p>
      <w:pPr>
        <w:pStyle w:val="ListBullet"/>
      </w:pPr>
      <w:r>
        <w:rPr>
          <w:sz w:val="22"/>
        </w:rPr>
        <w:t>South Africa</w:t>
      </w:r>
    </w:p>
    <w:p>
      <w:pPr>
        <w:pStyle w:val="ListBullet"/>
      </w:pPr>
      <w:r>
        <w:rPr>
          <w:sz w:val="22"/>
        </w:rPr>
        <w:t>Egypt</w:t>
      </w:r>
    </w:p>
    <w:p>
      <w:pPr>
        <w:pStyle w:val="Heading2"/>
      </w:pPr>
      <w:r>
        <w:t>Key Players</w:t>
      </w:r>
    </w:p>
    <w:p>
      <w:pPr>
        <w:pStyle w:val="ListBullet"/>
      </w:pPr>
      <w:r>
        <w:rPr>
          <w:sz w:val="22"/>
        </w:rPr>
        <w:t>Stanley Black &amp; Decker</w:t>
      </w:r>
    </w:p>
    <w:p>
      <w:pPr>
        <w:pStyle w:val="ListBullet"/>
      </w:pPr>
      <w:r>
        <w:rPr>
          <w:sz w:val="22"/>
        </w:rPr>
        <w:t>Hilti Corporation</w:t>
      </w:r>
    </w:p>
    <w:p>
      <w:pPr>
        <w:pStyle w:val="ListBullet"/>
      </w:pPr>
      <w:r>
        <w:rPr>
          <w:sz w:val="22"/>
        </w:rPr>
        <w:t>Fastenal Company</w:t>
      </w:r>
    </w:p>
    <w:p>
      <w:pPr>
        <w:pStyle w:val="ListBullet"/>
      </w:pPr>
      <w:r>
        <w:rPr>
          <w:sz w:val="22"/>
        </w:rPr>
        <w:t>Illinois Tool Works</w:t>
      </w:r>
    </w:p>
    <w:p>
      <w:pPr>
        <w:pStyle w:val="ListBullet"/>
      </w:pPr>
      <w:r>
        <w:rPr>
          <w:sz w:val="22"/>
        </w:rPr>
        <w:t>Nifco Inc.</w:t>
      </w:r>
    </w:p>
    <w:p>
      <w:pPr>
        <w:pStyle w:val="ListBullet"/>
      </w:pPr>
      <w:r>
        <w:rPr>
          <w:sz w:val="22"/>
        </w:rPr>
        <w:t>Bulten AB</w:t>
      </w:r>
    </w:p>
    <w:p>
      <w:pPr>
        <w:pStyle w:val="ListBullet"/>
      </w:pPr>
      <w:r>
        <w:rPr>
          <w:sz w:val="22"/>
        </w:rPr>
        <w:t>LISI Group</w:t>
      </w:r>
    </w:p>
    <w:p>
      <w:pPr>
        <w:pStyle w:val="ListBullet"/>
      </w:pPr>
      <w:r>
        <w:rPr>
          <w:sz w:val="22"/>
        </w:rPr>
        <w:t>Bossard Group</w:t>
      </w:r>
    </w:p>
    <w:p>
      <w:pPr>
        <w:pStyle w:val="ListBullet"/>
      </w:pPr>
      <w:r>
        <w:rPr>
          <w:sz w:val="22"/>
        </w:rPr>
        <w:t>Würth Group</w:t>
      </w:r>
    </w:p>
    <w:p>
      <w:pPr>
        <w:pStyle w:val="ListBullet"/>
      </w:pPr>
      <w:r>
        <w:rPr>
          <w:sz w:val="22"/>
        </w:rPr>
        <w:t>KAMAX Holding</w:t>
      </w:r>
    </w:p>
    <w:p>
      <w:pPr>
        <w:pStyle w:val="ListBullet"/>
      </w:pPr>
      <w:r>
        <w:rPr>
          <w:sz w:val="22"/>
        </w:rPr>
        <w:t>TR Fastenings</w:t>
      </w:r>
    </w:p>
    <w:p>
      <w:pPr>
        <w:pStyle w:val="ListBullet"/>
      </w:pPr>
      <w:r>
        <w:rPr>
          <w:sz w:val="22"/>
        </w:rPr>
        <w:t>Sundram Fasteners</w:t>
      </w:r>
    </w:p>
    <w:p>
      <w:pPr>
        <w:pStyle w:val="ListBullet"/>
      </w:pPr>
      <w:r>
        <w:rPr>
          <w:sz w:val="22"/>
        </w:rPr>
        <w:t>Aoyama Seisakusho</w:t>
      </w:r>
    </w:p>
    <w:p>
      <w:pPr>
        <w:pStyle w:val="ListBullet"/>
      </w:pPr>
      <w:r>
        <w:rPr>
          <w:sz w:val="22"/>
        </w:rPr>
        <w:t>PennEngineering</w:t>
      </w:r>
    </w:p>
    <w:p>
      <w:pPr>
        <w:pStyle w:val="ListBullet"/>
      </w:pPr>
      <w:r>
        <w:rPr>
          <w:sz w:val="22"/>
        </w:rPr>
        <w:t>Ejot Holding</w:t>
      </w:r>
    </w:p>
    <w:p>
      <w:pPr>
        <w:pStyle w:val="Heading2"/>
      </w:pPr>
      <w:r>
        <w:t>Custom Requirements</w:t>
      </w:r>
    </w:p>
    <w:p>
      <w:pPr>
        <w:pStyle w:val="ListBullet"/>
      </w:pPr>
      <w:r>
        <w:rPr>
          <w:sz w:val="22"/>
        </w:rPr>
        <w:t>Analysis of construction industry demand impact on screw market growth</w:t>
      </w:r>
    </w:p>
    <w:p>
      <w:pPr>
        <w:pStyle w:val="ListBullet"/>
      </w:pPr>
      <w:r>
        <w:rPr>
          <w:sz w:val="22"/>
        </w:rPr>
        <w:t>Comparative study of stainless steel versus carbon steel screws</w:t>
      </w:r>
    </w:p>
    <w:p>
      <w:pPr>
        <w:pStyle w:val="ListBullet"/>
      </w:pPr>
      <w:r>
        <w:rPr>
          <w:sz w:val="22"/>
        </w:rPr>
        <w:t>Impact of electric vehicle manufacturing on industrial screw demand</w:t>
      </w:r>
    </w:p>
    <w:p>
      <w:pPr>
        <w:pStyle w:val="ListBullet"/>
      </w:pPr>
      <w:r>
        <w:rPr>
          <w:sz w:val="22"/>
        </w:rPr>
        <w:t>Regional comparison of Asia-Pacific versus North America screw production</w:t>
      </w:r>
    </w:p>
    <w:p>
      <w:pPr>
        <w:pStyle w:val="ListBullet"/>
      </w:pPr>
      <w:r>
        <w:rPr>
          <w:sz w:val="22"/>
        </w:rPr>
        <w:t>Growth opportunities in sustainable and corrosion-resistant fastening solutions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