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Soda Market Segmentation (USD Billion, 2025-2035)</w:t>
      </w:r>
    </w:p>
    <w:p>
      <w:pPr>
        <w:pStyle w:val="Heading2"/>
      </w:pPr>
      <w:r>
        <w:t>By Product Type</w:t>
      </w:r>
    </w:p>
    <w:p>
      <w:pPr>
        <w:pStyle w:val="ListBullet"/>
      </w:pPr>
      <w:r>
        <w:rPr>
          <w:sz w:val="22"/>
        </w:rPr>
        <w:t>Cola</w:t>
      </w:r>
    </w:p>
    <w:p>
      <w:pPr>
        <w:pStyle w:val="ListBullet"/>
      </w:pPr>
      <w:r>
        <w:rPr>
          <w:sz w:val="22"/>
        </w:rPr>
        <w:t>Lemon-Lime Soda</w:t>
      </w:r>
    </w:p>
    <w:p>
      <w:pPr>
        <w:pStyle w:val="ListBullet"/>
      </w:pPr>
      <w:r>
        <w:rPr>
          <w:sz w:val="22"/>
        </w:rPr>
        <w:t>Orange Soda</w:t>
      </w:r>
    </w:p>
    <w:p>
      <w:pPr>
        <w:pStyle w:val="ListBullet"/>
      </w:pPr>
      <w:r>
        <w:rPr>
          <w:sz w:val="22"/>
        </w:rPr>
        <w:t>Energy Soda</w:t>
      </w:r>
    </w:p>
    <w:p>
      <w:pPr>
        <w:pStyle w:val="ListBullet"/>
      </w:pPr>
      <w:r>
        <w:rPr>
          <w:sz w:val="22"/>
        </w:rPr>
        <w:t>Diet Soda</w:t>
      </w:r>
    </w:p>
    <w:p>
      <w:pPr>
        <w:pStyle w:val="ListBullet"/>
      </w:pPr>
      <w:r>
        <w:rPr>
          <w:sz w:val="22"/>
        </w:rPr>
        <w:t>Sparkling Water &amp; Flavored Soda</w:t>
      </w:r>
    </w:p>
    <w:p>
      <w:pPr>
        <w:pStyle w:val="Heading2"/>
      </w:pPr>
      <w:r>
        <w:t>By Sugar Content</w:t>
      </w:r>
    </w:p>
    <w:p>
      <w:pPr>
        <w:pStyle w:val="ListBullet"/>
      </w:pPr>
      <w:r>
        <w:rPr>
          <w:sz w:val="22"/>
        </w:rPr>
        <w:t>Regular</w:t>
      </w:r>
    </w:p>
    <w:p>
      <w:pPr>
        <w:pStyle w:val="ListBullet"/>
      </w:pPr>
      <w:r>
        <w:rPr>
          <w:sz w:val="22"/>
        </w:rPr>
        <w:t>Low Sugar</w:t>
      </w:r>
    </w:p>
    <w:p>
      <w:pPr>
        <w:pStyle w:val="ListBullet"/>
      </w:pPr>
      <w:r>
        <w:rPr>
          <w:sz w:val="22"/>
        </w:rPr>
        <w:t>Sugar-Free/Diet</w:t>
      </w:r>
    </w:p>
    <w:p>
      <w:pPr>
        <w:pStyle w:val="Heading2"/>
      </w:pPr>
      <w:r>
        <w:t>By Packaging Type</w:t>
      </w:r>
    </w:p>
    <w:p>
      <w:pPr>
        <w:pStyle w:val="ListBullet"/>
      </w:pPr>
      <w:r>
        <w:rPr>
          <w:sz w:val="22"/>
        </w:rPr>
        <w:t>Cans</w:t>
      </w:r>
    </w:p>
    <w:p>
      <w:pPr>
        <w:pStyle w:val="ListBullet"/>
      </w:pPr>
      <w:r>
        <w:rPr>
          <w:sz w:val="22"/>
        </w:rPr>
        <w:t>Plastic Bottles</w:t>
      </w:r>
    </w:p>
    <w:p>
      <w:pPr>
        <w:pStyle w:val="ListBullet"/>
      </w:pPr>
      <w:r>
        <w:rPr>
          <w:sz w:val="22"/>
        </w:rPr>
        <w:t>Glass Bottles</w:t>
      </w:r>
    </w:p>
    <w:p>
      <w:pPr>
        <w:pStyle w:val="ListBullet"/>
      </w:pPr>
      <w:r>
        <w:rPr>
          <w:sz w:val="22"/>
        </w:rPr>
        <w:t>Cartons</w:t>
      </w:r>
    </w:p>
    <w:p>
      <w:pPr>
        <w:pStyle w:val="Heading2"/>
      </w:pPr>
      <w:r>
        <w:t>By Distribution Channel</w:t>
      </w:r>
    </w:p>
    <w:p>
      <w:pPr>
        <w:pStyle w:val="ListBullet"/>
      </w:pPr>
      <w:r>
        <w:rPr>
          <w:sz w:val="22"/>
        </w:rPr>
        <w:t>Supermarkets/Hypermarkets</w:t>
      </w:r>
    </w:p>
    <w:p>
      <w:pPr>
        <w:pStyle w:val="ListBullet"/>
      </w:pPr>
      <w:r>
        <w:rPr>
          <w:sz w:val="22"/>
        </w:rPr>
        <w:t>Convenience Stores</w:t>
      </w:r>
    </w:p>
    <w:p>
      <w:pPr>
        <w:pStyle w:val="ListBullet"/>
      </w:pPr>
      <w:r>
        <w:rPr>
          <w:sz w:val="22"/>
        </w:rPr>
        <w:t>Online Retail</w:t>
      </w:r>
    </w:p>
    <w:p>
      <w:pPr>
        <w:pStyle w:val="ListBullet"/>
      </w:pPr>
      <w:r>
        <w:rPr>
          <w:sz w:val="22"/>
        </w:rPr>
        <w:t>Restaurants &amp; Cafes</w:t>
      </w:r>
    </w:p>
    <w:p>
      <w:pPr>
        <w:pStyle w:val="ListBullet"/>
      </w:pPr>
      <w:r>
        <w:rPr>
          <w:sz w:val="22"/>
        </w:rPr>
        <w:t>Vending Machines</w:t>
      </w:r>
    </w:p>
    <w:p>
      <w:pPr>
        <w:pStyle w:val="Heading2"/>
      </w:pPr>
      <w:r>
        <w:t>By End User</w:t>
      </w:r>
    </w:p>
    <w:p>
      <w:pPr>
        <w:pStyle w:val="ListBullet"/>
      </w:pPr>
      <w:r>
        <w:rPr>
          <w:sz w:val="22"/>
        </w:rPr>
        <w:t>Adults</w:t>
      </w:r>
    </w:p>
    <w:p>
      <w:pPr>
        <w:pStyle w:val="ListBullet"/>
      </w:pPr>
      <w:r>
        <w:rPr>
          <w:sz w:val="22"/>
        </w:rPr>
        <w:t>Teenagers</w:t>
      </w:r>
    </w:p>
    <w:p>
      <w:pPr>
        <w:pStyle w:val="ListBullet"/>
      </w:pPr>
      <w:r>
        <w:rPr>
          <w:sz w:val="22"/>
        </w:rPr>
        <w:t>Children</w:t>
      </w:r>
    </w:p>
    <w:p>
      <w:pPr>
        <w:pStyle w:val="Heading2"/>
      </w:pPr>
      <w:r>
        <w:t>By Flavor Type</w:t>
      </w:r>
    </w:p>
    <w:p>
      <w:pPr>
        <w:pStyle w:val="ListBullet"/>
      </w:pPr>
      <w:r>
        <w:rPr>
          <w:sz w:val="22"/>
        </w:rPr>
        <w:t>Fruit-based</w:t>
      </w:r>
    </w:p>
    <w:p>
      <w:pPr>
        <w:pStyle w:val="ListBullet"/>
      </w:pPr>
      <w:r>
        <w:rPr>
          <w:sz w:val="22"/>
        </w:rPr>
        <w:t>Cola-based</w:t>
      </w:r>
    </w:p>
    <w:p>
      <w:pPr>
        <w:pStyle w:val="ListBullet"/>
      </w:pPr>
      <w:r>
        <w:rPr>
          <w:sz w:val="22"/>
        </w:rPr>
        <w:t>Herbal &amp; Spiced</w:t>
      </w:r>
    </w:p>
    <w:p>
      <w:pPr>
        <w:pStyle w:val="ListBullet"/>
      </w:pPr>
      <w:r>
        <w:rPr>
          <w:sz w:val="22"/>
        </w:rPr>
        <w:t>Mixed Flavors</w:t>
      </w:r>
    </w:p>
    <w:p>
      <w:pPr>
        <w:pStyle w:val="Heading2"/>
      </w:pPr>
      <w:r>
        <w:t>By Region</w:t>
      </w:r>
    </w:p>
    <w:p>
      <w:pPr>
        <w:pStyle w:val="ListBullet"/>
      </w:pPr>
      <w:r>
        <w:rPr>
          <w:sz w:val="22"/>
        </w:rPr>
        <w:t>North America</w:t>
      </w:r>
    </w:p>
    <w:p>
      <w:pPr>
        <w:pStyle w:val="ListBullet"/>
      </w:pPr>
      <w:r>
        <w:rPr>
          <w:sz w:val="22"/>
        </w:rPr>
        <w:t>United States</w:t>
      </w:r>
    </w:p>
    <w:p>
      <w:pPr>
        <w:pStyle w:val="ListBullet"/>
      </w:pPr>
      <w:r>
        <w:rPr>
          <w:sz w:val="22"/>
        </w:rPr>
        <w:t>Canada</w:t>
      </w:r>
    </w:p>
    <w:p>
      <w:pPr>
        <w:pStyle w:val="ListBullet"/>
      </w:pPr>
      <w:r>
        <w:rPr>
          <w:sz w:val="22"/>
        </w:rPr>
        <w:t>Mexico</w:t>
      </w:r>
    </w:p>
    <w:p>
      <w:pPr>
        <w:pStyle w:val="ListBullet"/>
      </w:pPr>
      <w:r>
        <w:rPr>
          <w:sz w:val="22"/>
        </w:rPr>
        <w:t>Europe</w:t>
      </w:r>
    </w:p>
    <w:p>
      <w:pPr>
        <w:pStyle w:val="ListBullet"/>
      </w:pPr>
      <w:r>
        <w:rPr>
          <w:sz w:val="22"/>
        </w:rPr>
        <w:t>Germany</w:t>
      </w:r>
    </w:p>
    <w:p>
      <w:pPr>
        <w:pStyle w:val="ListBullet"/>
      </w:pPr>
      <w:r>
        <w:rPr>
          <w:sz w:val="22"/>
        </w:rPr>
        <w:t>United Kingdom</w:t>
      </w:r>
    </w:p>
    <w:p>
      <w:pPr>
        <w:pStyle w:val="ListBullet"/>
      </w:pPr>
      <w:r>
        <w:rPr>
          <w:sz w:val="22"/>
        </w:rPr>
        <w:t>France</w:t>
      </w:r>
    </w:p>
    <w:p>
      <w:pPr>
        <w:pStyle w:val="ListBullet"/>
      </w:pPr>
      <w:r>
        <w:rPr>
          <w:sz w:val="22"/>
        </w:rPr>
        <w:t>Italy</w:t>
      </w:r>
    </w:p>
    <w:p>
      <w:pPr>
        <w:pStyle w:val="ListBullet"/>
      </w:pPr>
      <w:r>
        <w:rPr>
          <w:sz w:val="22"/>
        </w:rPr>
        <w:t>Spain</w:t>
      </w:r>
    </w:p>
    <w:p>
      <w:pPr>
        <w:pStyle w:val="ListBullet"/>
      </w:pPr>
      <w:r>
        <w:rPr>
          <w:sz w:val="22"/>
        </w:rPr>
        <w:t>Asia-Pacific</w:t>
      </w:r>
    </w:p>
    <w:p>
      <w:pPr>
        <w:pStyle w:val="ListBullet"/>
      </w:pPr>
      <w:r>
        <w:rPr>
          <w:sz w:val="22"/>
        </w:rPr>
        <w:t>China</w:t>
      </w:r>
    </w:p>
    <w:p>
      <w:pPr>
        <w:pStyle w:val="ListBullet"/>
      </w:pPr>
      <w:r>
        <w:rPr>
          <w:sz w:val="22"/>
        </w:rPr>
        <w:t>Japan</w:t>
      </w:r>
    </w:p>
    <w:p>
      <w:pPr>
        <w:pStyle w:val="ListBullet"/>
      </w:pPr>
      <w:r>
        <w:rPr>
          <w:sz w:val="22"/>
        </w:rPr>
        <w:t>India</w:t>
      </w:r>
    </w:p>
    <w:p>
      <w:pPr>
        <w:pStyle w:val="ListBullet"/>
      </w:pPr>
      <w:r>
        <w:rPr>
          <w:sz w:val="22"/>
        </w:rPr>
        <w:t>South Korea</w:t>
      </w:r>
    </w:p>
    <w:p>
      <w:pPr>
        <w:pStyle w:val="ListBullet"/>
      </w:pPr>
      <w:r>
        <w:rPr>
          <w:sz w:val="22"/>
        </w:rPr>
        <w:t>Australia</w:t>
      </w:r>
    </w:p>
    <w:p>
      <w:pPr>
        <w:pStyle w:val="ListBullet"/>
      </w:pPr>
      <w:r>
        <w:rPr>
          <w:sz w:val="22"/>
        </w:rPr>
        <w:t>South America</w:t>
      </w:r>
    </w:p>
    <w:p>
      <w:pPr>
        <w:pStyle w:val="ListBullet"/>
      </w:pPr>
      <w:r>
        <w:rPr>
          <w:sz w:val="22"/>
        </w:rPr>
        <w:t>Brazil</w:t>
      </w:r>
    </w:p>
    <w:p>
      <w:pPr>
        <w:pStyle w:val="ListBullet"/>
      </w:pPr>
      <w:r>
        <w:rPr>
          <w:sz w:val="22"/>
        </w:rPr>
        <w:t>Argentina</w:t>
      </w:r>
    </w:p>
    <w:p>
      <w:pPr>
        <w:pStyle w:val="ListBullet"/>
      </w:pPr>
      <w:r>
        <w:rPr>
          <w:sz w:val="22"/>
        </w:rPr>
        <w:t>Middle East &amp; Africa</w:t>
      </w:r>
    </w:p>
    <w:p>
      <w:pPr>
        <w:pStyle w:val="ListBullet"/>
      </w:pPr>
      <w:r>
        <w:rPr>
          <w:sz w:val="22"/>
        </w:rPr>
        <w:t>UAE</w:t>
      </w:r>
    </w:p>
    <w:p>
      <w:pPr>
        <w:pStyle w:val="ListBullet"/>
      </w:pPr>
      <w:r>
        <w:rPr>
          <w:sz w:val="22"/>
        </w:rPr>
        <w:t>Saudi Arabia</w:t>
      </w:r>
    </w:p>
    <w:p>
      <w:pPr>
        <w:pStyle w:val="ListBullet"/>
      </w:pPr>
      <w:r>
        <w:rPr>
          <w:sz w:val="22"/>
        </w:rPr>
        <w:t>South Africa</w:t>
      </w:r>
    </w:p>
    <w:p>
      <w:pPr>
        <w:pStyle w:val="ListBullet"/>
      </w:pPr>
      <w:r>
        <w:rPr>
          <w:sz w:val="22"/>
        </w:rPr>
        <w:t>Egypt</w:t>
      </w:r>
    </w:p>
    <w:p>
      <w:pPr>
        <w:pStyle w:val="Heading2"/>
      </w:pPr>
      <w:r>
        <w:t>Key Players</w:t>
      </w:r>
    </w:p>
    <w:p>
      <w:pPr>
        <w:pStyle w:val="ListBullet"/>
      </w:pPr>
      <w:r>
        <w:rPr>
          <w:sz w:val="22"/>
        </w:rPr>
        <w:t>The Coca-Cola Company</w:t>
      </w:r>
    </w:p>
    <w:p>
      <w:pPr>
        <w:pStyle w:val="ListBullet"/>
      </w:pPr>
      <w:r>
        <w:rPr>
          <w:sz w:val="22"/>
        </w:rPr>
        <w:t>PepsiCo</w:t>
      </w:r>
    </w:p>
    <w:p>
      <w:pPr>
        <w:pStyle w:val="ListBullet"/>
      </w:pPr>
      <w:r>
        <w:rPr>
          <w:sz w:val="22"/>
        </w:rPr>
        <w:t>Keurig Dr Pepper</w:t>
      </w:r>
    </w:p>
    <w:p>
      <w:pPr>
        <w:pStyle w:val="ListBullet"/>
      </w:pPr>
      <w:r>
        <w:rPr>
          <w:sz w:val="22"/>
        </w:rPr>
        <w:t>Monster Beverage Corporation</w:t>
      </w:r>
    </w:p>
    <w:p>
      <w:pPr>
        <w:pStyle w:val="ListBullet"/>
      </w:pPr>
      <w:r>
        <w:rPr>
          <w:sz w:val="22"/>
        </w:rPr>
        <w:t>Red Bull GmbH</w:t>
      </w:r>
    </w:p>
    <w:p>
      <w:pPr>
        <w:pStyle w:val="ListBullet"/>
      </w:pPr>
      <w:r>
        <w:rPr>
          <w:sz w:val="22"/>
        </w:rPr>
        <w:t>Nestlé</w:t>
      </w:r>
    </w:p>
    <w:p>
      <w:pPr>
        <w:pStyle w:val="ListBullet"/>
      </w:pPr>
      <w:r>
        <w:rPr>
          <w:sz w:val="22"/>
        </w:rPr>
        <w:t>Britvic</w:t>
      </w:r>
    </w:p>
    <w:p>
      <w:pPr>
        <w:pStyle w:val="ListBullet"/>
      </w:pPr>
      <w:r>
        <w:rPr>
          <w:sz w:val="22"/>
        </w:rPr>
        <w:t>Parle Agro</w:t>
      </w:r>
    </w:p>
    <w:p>
      <w:pPr>
        <w:pStyle w:val="ListBullet"/>
      </w:pPr>
      <w:r>
        <w:rPr>
          <w:sz w:val="22"/>
        </w:rPr>
        <w:t>Bisleri International</w:t>
      </w:r>
    </w:p>
    <w:p>
      <w:pPr>
        <w:pStyle w:val="ListBullet"/>
      </w:pPr>
      <w:r>
        <w:rPr>
          <w:sz w:val="22"/>
        </w:rPr>
        <w:t>National Beverage Corp.</w:t>
      </w:r>
    </w:p>
    <w:p>
      <w:pPr>
        <w:pStyle w:val="ListBullet"/>
      </w:pPr>
      <w:r>
        <w:rPr>
          <w:sz w:val="22"/>
        </w:rPr>
        <w:t>Jones Soda Co.</w:t>
      </w:r>
    </w:p>
    <w:p>
      <w:pPr>
        <w:pStyle w:val="ListBullet"/>
      </w:pPr>
      <w:r>
        <w:rPr>
          <w:sz w:val="22"/>
        </w:rPr>
        <w:t>Refresco</w:t>
      </w:r>
    </w:p>
    <w:p>
      <w:pPr>
        <w:pStyle w:val="ListBullet"/>
      </w:pPr>
      <w:r>
        <w:rPr>
          <w:sz w:val="22"/>
        </w:rPr>
        <w:t>Fever-Tree</w:t>
      </w:r>
    </w:p>
    <w:p>
      <w:pPr>
        <w:pStyle w:val="ListBullet"/>
      </w:pPr>
      <w:r>
        <w:rPr>
          <w:sz w:val="22"/>
        </w:rPr>
        <w:t>A.G. Barr</w:t>
      </w:r>
    </w:p>
    <w:p>
      <w:pPr>
        <w:pStyle w:val="ListBullet"/>
      </w:pPr>
      <w:r>
        <w:rPr>
          <w:sz w:val="22"/>
        </w:rPr>
        <w:t>Asahi Group Holdings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