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Global Cybersecurity Software Market Segmentation (USD Billion, 2025-2035)</w:t>
      </w:r>
    </w:p>
    <w:p>
      <w:r>
        <w:rPr>
          <w:b/>
        </w:rPr>
        <w:t>By Solution Type</w:t>
      </w:r>
    </w:p>
    <w:p>
      <w:pPr>
        <w:spacing w:after="0"/>
        <w:ind w:left="360"/>
      </w:pPr>
      <w:r>
        <w:t>Network Security</w:t>
      </w:r>
    </w:p>
    <w:p>
      <w:pPr>
        <w:spacing w:after="0"/>
        <w:ind w:left="360"/>
      </w:pPr>
      <w:r>
        <w:t>Endpoint Security</w:t>
      </w:r>
    </w:p>
    <w:p>
      <w:pPr>
        <w:spacing w:after="0"/>
        <w:ind w:left="360"/>
      </w:pPr>
      <w:r>
        <w:t>Cloud Security</w:t>
      </w:r>
    </w:p>
    <w:p>
      <w:pPr>
        <w:spacing w:after="0"/>
        <w:ind w:left="360"/>
      </w:pPr>
      <w:r>
        <w:t>Application Security</w:t>
      </w:r>
    </w:p>
    <w:p>
      <w:pPr>
        <w:spacing w:after="0"/>
        <w:ind w:left="360"/>
      </w:pPr>
      <w:r>
        <w:t>Identity &amp; Access Management</w:t>
      </w:r>
    </w:p>
    <w:p>
      <w:pPr>
        <w:spacing w:after="0"/>
        <w:ind w:left="360"/>
      </w:pPr>
      <w:r>
        <w:t>Data Security</w:t>
      </w:r>
    </w:p>
    <w:p>
      <w:pPr>
        <w:spacing w:after="0"/>
        <w:ind w:left="360"/>
      </w:pPr>
      <w:r>
        <w:t>Security Information &amp; Event Management</w:t>
      </w:r>
    </w:p>
    <w:p>
      <w:pPr>
        <w:spacing w:after="0"/>
        <w:ind w:left="360"/>
      </w:pPr>
      <w:r>
        <w:t>Security Orchestration &amp; Automated Response</w:t>
      </w:r>
    </w:p>
    <w:p>
      <w:r>
        <w:rPr>
          <w:b/>
        </w:rPr>
        <w:t>By Deployment</w:t>
      </w:r>
    </w:p>
    <w:p>
      <w:pPr>
        <w:spacing w:after="0"/>
        <w:ind w:left="360"/>
      </w:pPr>
      <w:r>
        <w:t>On-premises</w:t>
      </w:r>
    </w:p>
    <w:p>
      <w:pPr>
        <w:spacing w:after="0"/>
        <w:ind w:left="360"/>
      </w:pPr>
      <w:r>
        <w:t>Cloud-based</w:t>
      </w:r>
    </w:p>
    <w:p>
      <w:pPr>
        <w:spacing w:after="0"/>
        <w:ind w:left="360"/>
      </w:pPr>
      <w:r>
        <w:t>Hybrid</w:t>
      </w:r>
    </w:p>
    <w:p>
      <w:r>
        <w:rPr>
          <w:b/>
        </w:rPr>
        <w:t>By Organization Size</w:t>
      </w:r>
    </w:p>
    <w:p>
      <w:pPr>
        <w:spacing w:after="0"/>
        <w:ind w:left="360"/>
      </w:pPr>
      <w:r>
        <w:t>Small Enterprises</w:t>
      </w:r>
    </w:p>
    <w:p>
      <w:pPr>
        <w:spacing w:after="0"/>
        <w:ind w:left="360"/>
      </w:pPr>
      <w:r>
        <w:t>Medium Enterprises</w:t>
      </w:r>
    </w:p>
    <w:p>
      <w:pPr>
        <w:spacing w:after="0"/>
        <w:ind w:left="360"/>
      </w:pPr>
      <w:r>
        <w:t>Large Enterprises</w:t>
      </w:r>
    </w:p>
    <w:p>
      <w:pPr>
        <w:spacing w:after="0"/>
        <w:ind w:left="360"/>
      </w:pPr>
      <w:r>
        <w:t>Government Organizations</w:t>
      </w:r>
    </w:p>
    <w:p>
      <w:r>
        <w:rPr>
          <w:b/>
        </w:rPr>
        <w:t>By Security Type</w:t>
      </w:r>
    </w:p>
    <w:p>
      <w:pPr>
        <w:spacing w:after="0"/>
        <w:ind w:left="360"/>
      </w:pPr>
      <w:r>
        <w:t>Preventive Security</w:t>
      </w:r>
    </w:p>
    <w:p>
      <w:pPr>
        <w:spacing w:after="0"/>
        <w:ind w:left="360"/>
      </w:pPr>
      <w:r>
        <w:t>Detective Security</w:t>
      </w:r>
    </w:p>
    <w:p>
      <w:pPr>
        <w:spacing w:after="0"/>
        <w:ind w:left="360"/>
      </w:pPr>
      <w:r>
        <w:t>Responsive Security</w:t>
      </w:r>
    </w:p>
    <w:p>
      <w:pPr>
        <w:spacing w:after="0"/>
        <w:ind w:left="360"/>
      </w:pPr>
      <w:r>
        <w:t>Recovery &amp; Resilience</w:t>
      </w:r>
    </w:p>
    <w:p>
      <w:r>
        <w:rPr>
          <w:b/>
        </w:rPr>
        <w:t>By End User Industry</w:t>
      </w:r>
    </w:p>
    <w:p>
      <w:pPr>
        <w:spacing w:after="0"/>
        <w:ind w:left="360"/>
      </w:pPr>
      <w:r>
        <w:t>Banking &amp; Financial Services</w:t>
      </w:r>
    </w:p>
    <w:p>
      <w:pPr>
        <w:spacing w:after="0"/>
        <w:ind w:left="360"/>
      </w:pPr>
      <w:r>
        <w:t>Healthcare</w:t>
      </w:r>
    </w:p>
    <w:p>
      <w:pPr>
        <w:spacing w:after="0"/>
        <w:ind w:left="360"/>
      </w:pPr>
      <w:r>
        <w:t>Retail &amp; E-commerce</w:t>
      </w:r>
    </w:p>
    <w:p>
      <w:pPr>
        <w:spacing w:after="0"/>
        <w:ind w:left="360"/>
      </w:pPr>
      <w:r>
        <w:t>Manufacturing</w:t>
      </w:r>
    </w:p>
    <w:p>
      <w:pPr>
        <w:spacing w:after="0"/>
        <w:ind w:left="360"/>
      </w:pPr>
      <w:r>
        <w:t>Telecommunications</w:t>
      </w:r>
    </w:p>
    <w:p>
      <w:pPr>
        <w:spacing w:after="0"/>
        <w:ind w:left="360"/>
      </w:pPr>
      <w:r>
        <w:t>Government &amp; Defense</w:t>
      </w:r>
    </w:p>
    <w:p>
      <w:pPr>
        <w:spacing w:after="0"/>
        <w:ind w:left="360"/>
      </w:pPr>
      <w:r>
        <w:t>Education</w:t>
      </w:r>
    </w:p>
    <w:p>
      <w:pPr>
        <w:spacing w:after="0"/>
        <w:ind w:left="360"/>
      </w:pPr>
      <w:r>
        <w:t>Energy &amp; Utilities</w:t>
      </w:r>
    </w:p>
    <w:p>
      <w:r>
        <w:rPr>
          <w:b/>
        </w:rPr>
        <w:t>By Pricing Model</w:t>
      </w:r>
    </w:p>
    <w:p>
      <w:pPr>
        <w:spacing w:after="0"/>
        <w:ind w:left="360"/>
      </w:pPr>
      <w:r>
        <w:t>Subscription-based</w:t>
      </w:r>
    </w:p>
    <w:p>
      <w:pPr>
        <w:spacing w:after="0"/>
        <w:ind w:left="360"/>
      </w:pPr>
      <w:r>
        <w:t>Per-user Licensing</w:t>
      </w:r>
    </w:p>
    <w:p>
      <w:pPr>
        <w:spacing w:after="0"/>
        <w:ind w:left="360"/>
      </w:pPr>
      <w:r>
        <w:t>Usage-based</w:t>
      </w:r>
    </w:p>
    <w:p>
      <w:pPr>
        <w:spacing w:after="0"/>
        <w:ind w:left="360"/>
      </w:pPr>
      <w:r>
        <w:t>Per-device Licensing</w:t>
      </w:r>
    </w:p>
    <w:p>
      <w:pPr>
        <w:spacing w:after="0"/>
        <w:ind w:left="360"/>
      </w:pPr>
      <w:r>
        <w:t>Enterprise Licensing</w:t>
      </w:r>
    </w:p>
    <w:p>
      <w:r>
        <w:rPr>
          <w:b/>
        </w:rPr>
        <w:t>By Distribution Channel</w:t>
      </w:r>
    </w:p>
    <w:p>
      <w:pPr>
        <w:spacing w:after="0"/>
        <w:ind w:left="360"/>
      </w:pPr>
      <w:r>
        <w:t>Direct Sales</w:t>
      </w:r>
    </w:p>
    <w:p>
      <w:pPr>
        <w:spacing w:after="0"/>
        <w:ind w:left="360"/>
      </w:pPr>
      <w:r>
        <w:t>Value-added Resellers</w:t>
      </w:r>
    </w:p>
    <w:p>
      <w:pPr>
        <w:spacing w:after="0"/>
        <w:ind w:left="360"/>
      </w:pPr>
      <w:r>
        <w:t>System Integrators</w:t>
      </w:r>
    </w:p>
    <w:p>
      <w:pPr>
        <w:spacing w:after="0"/>
        <w:ind w:left="360"/>
      </w:pPr>
      <w:r>
        <w:t>Managed Security Service Providers</w:t>
      </w:r>
    </w:p>
    <w:p>
      <w:pPr>
        <w:spacing w:after="0"/>
        <w:ind w:left="360"/>
      </w:pPr>
      <w:r>
        <w:t>Online Software Marketplaces</w:t>
      </w:r>
    </w:p>
    <w:p>
      <w:pPr>
        <w:spacing w:after="0"/>
        <w:ind w:left="360"/>
      </w:pPr>
      <w:r>
        <w:t>Channel Partners</w:t>
      </w:r>
    </w:p>
    <w:p>
      <w:r>
        <w:rPr>
          <w:b/>
        </w:rPr>
        <w:t>By Region</w:t>
      </w:r>
    </w:p>
    <w:p>
      <w:pPr>
        <w:spacing w:after="0"/>
        <w:ind w:left="360"/>
      </w:pPr>
      <w:r>
        <w:t>North America</w:t>
      </w:r>
    </w:p>
    <w:p>
      <w:pPr>
        <w:spacing w:after="0"/>
        <w:ind w:left="360"/>
      </w:pPr>
      <w:r>
        <w:t>United States</w:t>
      </w:r>
    </w:p>
    <w:p>
      <w:pPr>
        <w:spacing w:after="0"/>
        <w:ind w:left="360"/>
      </w:pPr>
      <w:r>
        <w:t>Canada</w:t>
      </w:r>
    </w:p>
    <w:p>
      <w:pPr>
        <w:spacing w:after="0"/>
        <w:ind w:left="360"/>
      </w:pPr>
      <w:r>
        <w:t>Mexico</w:t>
      </w:r>
    </w:p>
    <w:p>
      <w:pPr>
        <w:spacing w:after="0"/>
        <w:ind w:left="360"/>
      </w:pPr>
      <w:r>
        <w:t>Europe</w:t>
      </w:r>
    </w:p>
    <w:p>
      <w:pPr>
        <w:spacing w:after="0"/>
        <w:ind w:left="360"/>
      </w:pPr>
      <w:r>
        <w:t>Germany</w:t>
      </w:r>
    </w:p>
    <w:p>
      <w:pPr>
        <w:spacing w:after="0"/>
        <w:ind w:left="360"/>
      </w:pPr>
      <w:r>
        <w:t>United Kingdom</w:t>
      </w:r>
    </w:p>
    <w:p>
      <w:pPr>
        <w:spacing w:after="0"/>
        <w:ind w:left="360"/>
      </w:pPr>
      <w:r>
        <w:t>France</w:t>
      </w:r>
    </w:p>
    <w:p>
      <w:pPr>
        <w:spacing w:after="0"/>
        <w:ind w:left="360"/>
      </w:pPr>
      <w:r>
        <w:t>Netherlands</w:t>
      </w:r>
    </w:p>
    <w:p>
      <w:pPr>
        <w:spacing w:after="0"/>
        <w:ind w:left="360"/>
      </w:pPr>
      <w:r>
        <w:t>Switzerland</w:t>
      </w:r>
    </w:p>
    <w:p>
      <w:pPr>
        <w:spacing w:after="0"/>
        <w:ind w:left="360"/>
      </w:pPr>
      <w:r>
        <w:t>Asia-Pacific</w:t>
      </w:r>
    </w:p>
    <w:p>
      <w:pPr>
        <w:spacing w:after="0"/>
        <w:ind w:left="360"/>
      </w:pPr>
      <w:r>
        <w:t>China</w:t>
      </w:r>
    </w:p>
    <w:p>
      <w:pPr>
        <w:spacing w:after="0"/>
        <w:ind w:left="360"/>
      </w:pPr>
      <w:r>
        <w:t>Japan</w:t>
      </w:r>
    </w:p>
    <w:p>
      <w:pPr>
        <w:spacing w:after="0"/>
        <w:ind w:left="360"/>
      </w:pPr>
      <w:r>
        <w:t>India</w:t>
      </w:r>
    </w:p>
    <w:p>
      <w:pPr>
        <w:spacing w:after="0"/>
        <w:ind w:left="360"/>
      </w:pPr>
      <w:r>
        <w:t>South Korea</w:t>
      </w:r>
    </w:p>
    <w:p>
      <w:pPr>
        <w:spacing w:after="0"/>
        <w:ind w:left="360"/>
      </w:pPr>
      <w:r>
        <w:t>Singapore</w:t>
      </w:r>
    </w:p>
    <w:p>
      <w:pPr>
        <w:spacing w:after="0"/>
        <w:ind w:left="360"/>
      </w:pPr>
      <w:r>
        <w:t>Australia</w:t>
      </w:r>
    </w:p>
    <w:p>
      <w:pPr>
        <w:spacing w:after="0"/>
        <w:ind w:left="360"/>
      </w:pPr>
      <w:r>
        <w:t>South America</w:t>
      </w:r>
    </w:p>
    <w:p>
      <w:pPr>
        <w:spacing w:after="0"/>
        <w:ind w:left="360"/>
      </w:pPr>
      <w:r>
        <w:t>Brazil</w:t>
      </w:r>
    </w:p>
    <w:p>
      <w:pPr>
        <w:spacing w:after="0"/>
        <w:ind w:left="360"/>
      </w:pPr>
      <w:r>
        <w:t>Argentina</w:t>
      </w:r>
    </w:p>
    <w:p>
      <w:pPr>
        <w:spacing w:after="0"/>
        <w:ind w:left="360"/>
      </w:pPr>
      <w:r>
        <w:t>Chile</w:t>
      </w:r>
    </w:p>
    <w:p>
      <w:pPr>
        <w:spacing w:after="0"/>
        <w:ind w:left="360"/>
      </w:pPr>
      <w:r>
        <w:t>Middle East &amp; Africa</w:t>
      </w:r>
    </w:p>
    <w:p>
      <w:pPr>
        <w:spacing w:after="0"/>
        <w:ind w:left="360"/>
      </w:pPr>
      <w:r>
        <w:t>UAE</w:t>
      </w:r>
    </w:p>
    <w:p>
      <w:pPr>
        <w:spacing w:after="0"/>
        <w:ind w:left="360"/>
      </w:pPr>
      <w:r>
        <w:t>Saudi Arabia</w:t>
      </w:r>
    </w:p>
    <w:p>
      <w:pPr>
        <w:spacing w:after="0"/>
        <w:ind w:left="360"/>
      </w:pPr>
      <w:r>
        <w:t>Israel</w:t>
      </w:r>
    </w:p>
    <w:p>
      <w:pPr>
        <w:spacing w:after="0"/>
        <w:ind w:left="360"/>
      </w:pPr>
      <w:r>
        <w:t>South Africa</w:t>
      </w:r>
    </w:p>
    <w:p>
      <w:r>
        <w:rPr>
          <w:b/>
        </w:rPr>
        <w:t>Key Players</w:t>
      </w:r>
    </w:p>
    <w:p>
      <w:pPr>
        <w:spacing w:after="0"/>
        <w:ind w:left="360"/>
      </w:pPr>
      <w:r>
        <w:t>Microsoft</w:t>
      </w:r>
    </w:p>
    <w:p>
      <w:pPr>
        <w:spacing w:after="0"/>
        <w:ind w:left="360"/>
      </w:pPr>
      <w:r>
        <w:t>Palo Alto Networks</w:t>
      </w:r>
    </w:p>
    <w:p>
      <w:pPr>
        <w:spacing w:after="0"/>
        <w:ind w:left="360"/>
      </w:pPr>
      <w:r>
        <w:t>CrowdStrike</w:t>
      </w:r>
    </w:p>
    <w:p>
      <w:pPr>
        <w:spacing w:after="0"/>
        <w:ind w:left="360"/>
      </w:pPr>
      <w:r>
        <w:t>Fortinet</w:t>
      </w:r>
    </w:p>
    <w:p>
      <w:pPr>
        <w:spacing w:after="0"/>
        <w:ind w:left="360"/>
      </w:pPr>
      <w:r>
        <w:t>Cisco Systems</w:t>
      </w:r>
    </w:p>
    <w:p>
      <w:pPr>
        <w:spacing w:after="0"/>
        <w:ind w:left="360"/>
      </w:pPr>
      <w:r>
        <w:t>Check Point Software Technologies</w:t>
      </w:r>
    </w:p>
    <w:p>
      <w:pPr>
        <w:spacing w:after="0"/>
        <w:ind w:left="360"/>
      </w:pPr>
      <w:r>
        <w:t>Okta</w:t>
      </w:r>
    </w:p>
    <w:p>
      <w:pPr>
        <w:spacing w:after="0"/>
        <w:ind w:left="360"/>
      </w:pPr>
      <w:r>
        <w:t>Zscaler</w:t>
      </w:r>
    </w:p>
    <w:p>
      <w:pPr>
        <w:spacing w:after="0"/>
        <w:ind w:left="360"/>
      </w:pPr>
      <w:r>
        <w:t>Cloudflare</w:t>
      </w:r>
    </w:p>
    <w:p>
      <w:pPr>
        <w:spacing w:after="0"/>
        <w:ind w:left="360"/>
      </w:pPr>
      <w:r>
        <w:t>SentinelOne</w:t>
      </w:r>
    </w:p>
    <w:p>
      <w:pPr>
        <w:spacing w:after="0"/>
        <w:ind w:left="360"/>
      </w:pPr>
      <w:r>
        <w:t>Trellix</w:t>
      </w:r>
    </w:p>
    <w:p>
      <w:pPr>
        <w:spacing w:after="0"/>
        <w:ind w:left="360"/>
      </w:pPr>
      <w:r>
        <w:t>Trend Micro</w:t>
      </w:r>
    </w:p>
    <w:p>
      <w:pPr>
        <w:spacing w:after="0"/>
        <w:ind w:left="360"/>
      </w:pPr>
      <w:r>
        <w:t>Gen Digital</w:t>
      </w:r>
    </w:p>
    <w:p>
      <w:pPr>
        <w:spacing w:after="0"/>
        <w:ind w:left="360"/>
      </w:pPr>
      <w:r>
        <w:t>Rapid7</w:t>
      </w:r>
    </w:p>
    <w:p>
      <w:pPr>
        <w:spacing w:after="0"/>
        <w:ind w:left="360"/>
      </w:pPr>
      <w:r>
        <w:t>Sophos</w:t>
      </w:r>
    </w:p>
    <w:p>
      <w:r>
        <w:rPr>
          <w:b/>
        </w:rPr>
        <w:t>Custom Requirements</w:t>
      </w:r>
    </w:p>
    <w:p>
      <w:pPr>
        <w:spacing w:after="0"/>
        <w:ind w:left="360"/>
      </w:pPr>
      <w:r>
        <w:t>Impact of generative AI on cybersecurity threats and security spending</w:t>
      </w:r>
    </w:p>
    <w:p>
      <w:pPr>
        <w:spacing w:after="0"/>
        <w:ind w:left="360"/>
      </w:pPr>
      <w:r>
        <w:t>Comparison of cloud-native security platforms versus traditional security solutions</w:t>
      </w:r>
    </w:p>
    <w:p>
      <w:pPr>
        <w:spacing w:after="0"/>
        <w:ind w:left="360"/>
      </w:pPr>
      <w:r>
        <w:t>Role of zero-trust architecture in enterprise cybersecurity adoption</w:t>
      </w:r>
    </w:p>
    <w:p>
      <w:pPr>
        <w:spacing w:after="0"/>
        <w:ind w:left="360"/>
      </w:pPr>
      <w:r>
        <w:t>Growth opportunities in managed detection and response services</w:t>
      </w:r>
    </w:p>
    <w:p>
      <w:pPr>
        <w:spacing w:after="0"/>
        <w:ind w:left="360"/>
      </w:pPr>
      <w:r>
        <w:t>Impact of increasing ransomware incidents on cybersecurity budgets</w:t>
      </w:r>
    </w:p>
    <w:p>
      <w:pPr>
        <w:spacing w:after="0"/>
        <w:ind w:left="360"/>
      </w:pPr>
      <w:r>
        <w:t>Regional comparison of cybersecurity spending across North America, Europe, and Asia-Pacific</w:t>
      </w:r>
    </w:p>
    <w:p>
      <w:pPr>
        <w:spacing w:after="0"/>
        <w:ind w:left="360"/>
      </w:pPr>
      <w:r>
        <w:t>Adoption of AI-driven threat detection and automated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