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0A1F44"/>
          <w:sz w:val="56"/>
        </w:rPr>
        <w:t>THE BROOKSIDE BRIEF</w:t>
      </w:r>
    </w:p>
    <w:p>
      <w:pPr>
        <w:spacing w:after="0"/>
        <w:jc w:val="center"/>
      </w:pPr>
      <w:r>
        <w:rPr>
          <w:i/>
          <w:color w:val="555555"/>
          <w:sz w:val="21"/>
        </w:rPr>
        <w:t>A morning briefing on markets, macro, and the day ahead</w:t>
      </w:r>
    </w:p>
    <w:p>
      <w:pPr>
        <w:spacing w:before="80" w:after="160"/>
        <w:jc w:val="center"/>
        <w:pBdr>
          <w:bottom w:val="single" w:sz="18" w:color="0A1F44"/>
        </w:pBdr>
      </w:pPr>
      <w:r>
        <w:rPr>
          <w:b/>
          <w:color w:val="C9A227"/>
          <w:sz w:val="20"/>
        </w:rPr>
        <w:t>Monday, May 18, 2026  •  9:30 AM ET</w:t>
      </w:r>
    </w:p>
    <w:p>
      <w:pPr>
        <w:spacing w:before="360" w:after="120"/>
        <w:pBdr>
          <w:bottom w:val="single" w:sz="12" w:color="C9A227"/>
        </w:pBdr>
      </w:pPr>
      <w:r>
        <w:rPr>
          <w:rFonts w:ascii="Calibri" w:hAnsi="Calibri"/>
          <w:b/>
          <w:color w:val="0A1F44"/>
          <w:sz w:val="26"/>
        </w:rPr>
        <w:t>1. THE MORNING SETUP</w:t>
      </w:r>
    </w:p>
    <w:p>
      <w:pPr>
        <w:spacing w:after="120"/>
      </w:pPr>
      <w:r>
        <w:rPr>
          <w:i w:val="0"/>
          <w:color w:val="101010"/>
          <w:sz w:val="21"/>
        </w:rPr>
        <w:t>Good morning. Wall Street walks into Monday nursing a hangover and bracing for a stress test. Friday's session shaved 1.24% off the S&amp;P 500 and 1.54% off the Nasdaq as tech buckled under a renewed climb in long-end yields and the abrupt deflation of the Trump–Xi summit, which broke up without the trade breakthroughs traders had begun to price in over the prior two weeks. Futures are flickering between gains and losses pre-bell, with the path of least resistance tied to two unrelated stories that have suddenly become the same story: oil at $110 and Nvidia at 5:00 p.m. Wednesday.</w:t>
      </w:r>
    </w:p>
    <w:p>
      <w:pPr>
        <w:spacing w:after="120"/>
      </w:pPr>
      <w:r>
        <w:rPr>
          <w:i w:val="0"/>
          <w:color w:val="101010"/>
          <w:sz w:val="21"/>
        </w:rPr>
        <w:t>The Strait of Hormuz remains closed for a sixth straight week. President Trump's overnight warning that 'the clock is ticking' on Iran sent Brent briefly above $111 in Asia before easing on a report — sourced to Iranian state media — that Washington had floated a temporary sanctions waiver pending a broader deal. Vice President Vance is in Islamabad today leading the next round of talks. Until the strait reopens, the energy bid stays sticky and so does the inflation print every desk on the Street is now modeling for May.</w:t>
      </w:r>
    </w:p>
    <w:p>
      <w:pPr>
        <w:spacing w:after="120"/>
      </w:pPr>
      <w:r>
        <w:rPr>
          <w:i w:val="0"/>
          <w:color w:val="101010"/>
          <w:sz w:val="21"/>
        </w:rPr>
        <w:t>The macro backdrop is unforgiving. April CPI ran at 3.8% year-on-year and PPI at 6.0% — the hottest producer-side print since late 2022. Fed funds futures have completed an extraordinary round trip: from pricing two cuts in January to fully pricing a hike by Q1 2027, with a better-than-one-in-three chance of one before year-end. The 10-year sits at 4.63%, the dollar index at 99.39 — its highest in a month — and the policy-sensitive 2-year is grinding higher into Thursday's FOMC minutes from the April 28–29 hold, which markets will mine for any hint of how seriously Powell's committee is entertaining the H-word.</w:t>
      </w:r>
    </w:p>
    <w:p>
      <w:pPr>
        <w:spacing w:before="360" w:after="120"/>
        <w:pBdr>
          <w:bottom w:val="single" w:sz="12" w:color="C9A227"/>
        </w:pBdr>
      </w:pPr>
      <w:r>
        <w:rPr>
          <w:rFonts w:ascii="Calibri" w:hAnsi="Calibri"/>
          <w:b/>
          <w:color w:val="0A1F44"/>
          <w:sz w:val="26"/>
        </w:rPr>
        <w:t>2. MARKETS AT A GLANCE</w:t>
      </w:r>
    </w:p>
    <w:p>
      <w:pPr>
        <w:spacing w:before="200" w:after="40"/>
      </w:pPr>
      <w:r>
        <w:rPr>
          <w:b/>
          <w:color w:val="0A1F44"/>
          <w:sz w:val="22"/>
        </w:rPr>
        <w:t>U.S. Equity Futures (pre-open)</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S&amp;P 500 (ES)</w:t>
            </w:r>
          </w:p>
        </w:tc>
        <w:tc>
          <w:tcPr>
            <w:tcW w:type="dxa" w:w="2493"/>
            <w:tcBorders>
              <w:top w:val="single" w:sz="4" w:color="BFBFBF"/>
              <w:bottom w:val="single" w:sz="4" w:color="BFBFBF"/>
            </w:tcBorders>
          </w:tcPr>
          <w:p>
            <w:r>
              <w:rPr>
                <w:sz w:val="20"/>
              </w:rPr>
              <w:t>7,415</w:t>
            </w:r>
          </w:p>
        </w:tc>
        <w:tc>
          <w:tcPr>
            <w:tcW w:type="dxa" w:w="2493"/>
            <w:tcBorders>
              <w:top w:val="single" w:sz="4" w:color="BFBFBF"/>
              <w:bottom w:val="single" w:sz="4" w:color="BFBFBF"/>
            </w:tcBorders>
          </w:tcPr>
          <w:p>
            <w:r>
              <w:rPr>
                <w:color w:val="0B6B3A"/>
                <w:sz w:val="20"/>
              </w:rPr>
              <w:t>+7</w:t>
            </w:r>
          </w:p>
        </w:tc>
        <w:tc>
          <w:tcPr>
            <w:tcW w:type="dxa" w:w="2493"/>
            <w:tcBorders>
              <w:top w:val="single" w:sz="4" w:color="BFBFBF"/>
              <w:bottom w:val="single" w:sz="4" w:color="BFBFBF"/>
            </w:tcBorders>
          </w:tcPr>
          <w:p>
            <w:r>
              <w:rPr>
                <w:color w:val="0B6B3A"/>
                <w:sz w:val="20"/>
              </w:rPr>
              <w:t>+0.09%</w:t>
            </w:r>
          </w:p>
        </w:tc>
      </w:tr>
      <w:tr>
        <w:tc>
          <w:tcPr>
            <w:tcW w:type="dxa" w:w="2493"/>
            <w:shd w:val="clear" w:color="auto" w:fill="F4F1E8"/>
            <w:tcBorders>
              <w:top w:val="single" w:sz="4" w:color="BFBFBF"/>
              <w:bottom w:val="single" w:sz="4" w:color="BFBFBF"/>
            </w:tcBorders>
          </w:tcPr>
          <w:p>
            <w:r>
              <w:rPr>
                <w:sz w:val="20"/>
              </w:rPr>
              <w:t>Nasdaq 100 (NQ)</w:t>
            </w:r>
          </w:p>
        </w:tc>
        <w:tc>
          <w:tcPr>
            <w:tcW w:type="dxa" w:w="2493"/>
            <w:shd w:val="clear" w:color="auto" w:fill="F4F1E8"/>
            <w:tcBorders>
              <w:top w:val="single" w:sz="4" w:color="BFBFBF"/>
              <w:bottom w:val="single" w:sz="4" w:color="BFBFBF"/>
            </w:tcBorders>
          </w:tcPr>
          <w:p>
            <w:r>
              <w:rPr>
                <w:sz w:val="20"/>
              </w:rPr>
              <w:t>25,840</w:t>
            </w:r>
          </w:p>
        </w:tc>
        <w:tc>
          <w:tcPr>
            <w:tcW w:type="dxa" w:w="2493"/>
            <w:shd w:val="clear" w:color="auto" w:fill="F4F1E8"/>
            <w:tcBorders>
              <w:top w:val="single" w:sz="4" w:color="BFBFBF"/>
              <w:bottom w:val="single" w:sz="4" w:color="BFBFBF"/>
            </w:tcBorders>
          </w:tcPr>
          <w:p>
            <w:r>
              <w:rPr>
                <w:color w:val="B31B1B"/>
                <w:sz w:val="20"/>
              </w:rPr>
              <w:t>-25</w:t>
            </w:r>
          </w:p>
        </w:tc>
        <w:tc>
          <w:tcPr>
            <w:tcW w:type="dxa" w:w="2493"/>
            <w:shd w:val="clear" w:color="auto" w:fill="F4F1E8"/>
            <w:tcBorders>
              <w:top w:val="single" w:sz="4" w:color="BFBFBF"/>
              <w:bottom w:val="single" w:sz="4" w:color="BFBFBF"/>
            </w:tcBorders>
          </w:tcPr>
          <w:p>
            <w:r>
              <w:rPr>
                <w:color w:val="B31B1B"/>
                <w:sz w:val="20"/>
              </w:rPr>
              <w:t>-0.10%</w:t>
            </w:r>
          </w:p>
        </w:tc>
      </w:tr>
      <w:tr>
        <w:tc>
          <w:tcPr>
            <w:tcW w:type="dxa" w:w="2493"/>
            <w:tcBorders>
              <w:top w:val="single" w:sz="4" w:color="BFBFBF"/>
              <w:bottom w:val="single" w:sz="4" w:color="BFBFBF"/>
            </w:tcBorders>
          </w:tcPr>
          <w:p>
            <w:r>
              <w:rPr>
                <w:sz w:val="20"/>
              </w:rPr>
              <w:t>Dow (YM)</w:t>
            </w:r>
          </w:p>
        </w:tc>
        <w:tc>
          <w:tcPr>
            <w:tcW w:type="dxa" w:w="2493"/>
            <w:tcBorders>
              <w:top w:val="single" w:sz="4" w:color="BFBFBF"/>
              <w:bottom w:val="single" w:sz="4" w:color="BFBFBF"/>
            </w:tcBorders>
          </w:tcPr>
          <w:p>
            <w:r>
              <w:rPr>
                <w:sz w:val="20"/>
              </w:rPr>
              <w:t>49,610</w:t>
            </w:r>
          </w:p>
        </w:tc>
        <w:tc>
          <w:tcPr>
            <w:tcW w:type="dxa" w:w="2493"/>
            <w:tcBorders>
              <w:top w:val="single" w:sz="4" w:color="BFBFBF"/>
              <w:bottom w:val="single" w:sz="4" w:color="BFBFBF"/>
            </w:tcBorders>
          </w:tcPr>
          <w:p>
            <w:r>
              <w:rPr>
                <w:color w:val="0B6B3A"/>
                <w:sz w:val="20"/>
              </w:rPr>
              <w:t>+85</w:t>
            </w:r>
          </w:p>
        </w:tc>
        <w:tc>
          <w:tcPr>
            <w:tcW w:type="dxa" w:w="2493"/>
            <w:tcBorders>
              <w:top w:val="single" w:sz="4" w:color="BFBFBF"/>
              <w:bottom w:val="single" w:sz="4" w:color="BFBFBF"/>
            </w:tcBorders>
          </w:tcPr>
          <w:p>
            <w:r>
              <w:rPr>
                <w:color w:val="0B6B3A"/>
                <w:sz w:val="20"/>
              </w:rPr>
              <w:t>+0.17%</w:t>
            </w:r>
          </w:p>
        </w:tc>
      </w:tr>
      <w:tr>
        <w:tc>
          <w:tcPr>
            <w:tcW w:type="dxa" w:w="2493"/>
            <w:shd w:val="clear" w:color="auto" w:fill="F4F1E8"/>
            <w:tcBorders>
              <w:top w:val="single" w:sz="4" w:color="BFBFBF"/>
              <w:bottom w:val="single" w:sz="4" w:color="BFBFBF"/>
            </w:tcBorders>
          </w:tcPr>
          <w:p>
            <w:r>
              <w:rPr>
                <w:sz w:val="20"/>
              </w:rPr>
              <w:t>Russell 2000 (RTY)</w:t>
            </w:r>
          </w:p>
        </w:tc>
        <w:tc>
          <w:tcPr>
            <w:tcW w:type="dxa" w:w="2493"/>
            <w:shd w:val="clear" w:color="auto" w:fill="F4F1E8"/>
            <w:tcBorders>
              <w:top w:val="single" w:sz="4" w:color="BFBFBF"/>
              <w:bottom w:val="single" w:sz="4" w:color="BFBFBF"/>
            </w:tcBorders>
          </w:tcPr>
          <w:p>
            <w:r>
              <w:rPr>
                <w:sz w:val="20"/>
              </w:rPr>
              <w:t>2,238</w:t>
            </w:r>
          </w:p>
        </w:tc>
        <w:tc>
          <w:tcPr>
            <w:tcW w:type="dxa" w:w="2493"/>
            <w:shd w:val="clear" w:color="auto" w:fill="F4F1E8"/>
            <w:tcBorders>
              <w:top w:val="single" w:sz="4" w:color="BFBFBF"/>
              <w:bottom w:val="single" w:sz="4" w:color="BFBFBF"/>
            </w:tcBorders>
          </w:tcPr>
          <w:p>
            <w:r>
              <w:rPr>
                <w:color w:val="B31B1B"/>
                <w:sz w:val="20"/>
              </w:rPr>
              <w:t>-3</w:t>
            </w:r>
          </w:p>
        </w:tc>
        <w:tc>
          <w:tcPr>
            <w:tcW w:type="dxa" w:w="2493"/>
            <w:shd w:val="clear" w:color="auto" w:fill="F4F1E8"/>
            <w:tcBorders>
              <w:top w:val="single" w:sz="4" w:color="BFBFBF"/>
              <w:bottom w:val="single" w:sz="4" w:color="BFBFBF"/>
            </w:tcBorders>
          </w:tcPr>
          <w:p>
            <w:r>
              <w:rPr>
                <w:color w:val="B31B1B"/>
                <w:sz w:val="20"/>
              </w:rPr>
              <w:t>-0.13%</w:t>
            </w:r>
          </w:p>
        </w:tc>
      </w:tr>
    </w:tbl>
    <w:p>
      <w:pPr>
        <w:spacing w:before="200" w:after="40"/>
      </w:pPr>
      <w:r>
        <w:rPr>
          <w:b/>
          <w:color w:val="0A1F44"/>
          <w:sz w:val="22"/>
        </w:rPr>
        <w:t>Prior Close (Friday, May 15)</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S&amp;P 500</w:t>
            </w:r>
          </w:p>
        </w:tc>
        <w:tc>
          <w:tcPr>
            <w:tcW w:type="dxa" w:w="2493"/>
            <w:tcBorders>
              <w:top w:val="single" w:sz="4" w:color="BFBFBF"/>
              <w:bottom w:val="single" w:sz="4" w:color="BFBFBF"/>
            </w:tcBorders>
          </w:tcPr>
          <w:p>
            <w:r>
              <w:rPr>
                <w:sz w:val="20"/>
              </w:rPr>
              <w:t>7,408.50</w:t>
            </w:r>
          </w:p>
        </w:tc>
        <w:tc>
          <w:tcPr>
            <w:tcW w:type="dxa" w:w="2493"/>
            <w:tcBorders>
              <w:top w:val="single" w:sz="4" w:color="BFBFBF"/>
              <w:bottom w:val="single" w:sz="4" w:color="BFBFBF"/>
            </w:tcBorders>
          </w:tcPr>
          <w:p>
            <w:r>
              <w:rPr>
                <w:color w:val="B31B1B"/>
                <w:sz w:val="20"/>
              </w:rPr>
              <w:t>-92.92</w:t>
            </w:r>
          </w:p>
        </w:tc>
        <w:tc>
          <w:tcPr>
            <w:tcW w:type="dxa" w:w="2493"/>
            <w:tcBorders>
              <w:top w:val="single" w:sz="4" w:color="BFBFBF"/>
              <w:bottom w:val="single" w:sz="4" w:color="BFBFBF"/>
            </w:tcBorders>
          </w:tcPr>
          <w:p>
            <w:r>
              <w:rPr>
                <w:color w:val="B31B1B"/>
                <w:sz w:val="20"/>
              </w:rPr>
              <w:t>-1.24%</w:t>
            </w:r>
          </w:p>
        </w:tc>
      </w:tr>
      <w:tr>
        <w:tc>
          <w:tcPr>
            <w:tcW w:type="dxa" w:w="2493"/>
            <w:shd w:val="clear" w:color="auto" w:fill="F4F1E8"/>
            <w:tcBorders>
              <w:top w:val="single" w:sz="4" w:color="BFBFBF"/>
              <w:bottom w:val="single" w:sz="4" w:color="BFBFBF"/>
            </w:tcBorders>
          </w:tcPr>
          <w:p>
            <w:r>
              <w:rPr>
                <w:sz w:val="20"/>
              </w:rPr>
              <w:t>Nasdaq Composite</w:t>
            </w:r>
          </w:p>
        </w:tc>
        <w:tc>
          <w:tcPr>
            <w:tcW w:type="dxa" w:w="2493"/>
            <w:shd w:val="clear" w:color="auto" w:fill="F4F1E8"/>
            <w:tcBorders>
              <w:top w:val="single" w:sz="4" w:color="BFBFBF"/>
              <w:bottom w:val="single" w:sz="4" w:color="BFBFBF"/>
            </w:tcBorders>
          </w:tcPr>
          <w:p>
            <w:r>
              <w:rPr>
                <w:sz w:val="20"/>
              </w:rPr>
              <w:t>26,225.14</w:t>
            </w:r>
          </w:p>
        </w:tc>
        <w:tc>
          <w:tcPr>
            <w:tcW w:type="dxa" w:w="2493"/>
            <w:shd w:val="clear" w:color="auto" w:fill="F4F1E8"/>
            <w:tcBorders>
              <w:top w:val="single" w:sz="4" w:color="BFBFBF"/>
              <w:bottom w:val="single" w:sz="4" w:color="BFBFBF"/>
            </w:tcBorders>
          </w:tcPr>
          <w:p>
            <w:r>
              <w:rPr>
                <w:color w:val="B31B1B"/>
                <w:sz w:val="20"/>
              </w:rPr>
              <w:t>-410.43</w:t>
            </w:r>
          </w:p>
        </w:tc>
        <w:tc>
          <w:tcPr>
            <w:tcW w:type="dxa" w:w="2493"/>
            <w:shd w:val="clear" w:color="auto" w:fill="F4F1E8"/>
            <w:tcBorders>
              <w:top w:val="single" w:sz="4" w:color="BFBFBF"/>
              <w:bottom w:val="single" w:sz="4" w:color="BFBFBF"/>
            </w:tcBorders>
          </w:tcPr>
          <w:p>
            <w:r>
              <w:rPr>
                <w:color w:val="B31B1B"/>
                <w:sz w:val="20"/>
              </w:rPr>
              <w:t>-1.54%</w:t>
            </w:r>
          </w:p>
        </w:tc>
      </w:tr>
      <w:tr>
        <w:tc>
          <w:tcPr>
            <w:tcW w:type="dxa" w:w="2493"/>
            <w:tcBorders>
              <w:top w:val="single" w:sz="4" w:color="BFBFBF"/>
              <w:bottom w:val="single" w:sz="4" w:color="BFBFBF"/>
            </w:tcBorders>
          </w:tcPr>
          <w:p>
            <w:r>
              <w:rPr>
                <w:sz w:val="20"/>
              </w:rPr>
              <w:t>Dow Jones Industrial Avg.</w:t>
            </w:r>
          </w:p>
        </w:tc>
        <w:tc>
          <w:tcPr>
            <w:tcW w:type="dxa" w:w="2493"/>
            <w:tcBorders>
              <w:top w:val="single" w:sz="4" w:color="BFBFBF"/>
              <w:bottom w:val="single" w:sz="4" w:color="BFBFBF"/>
            </w:tcBorders>
          </w:tcPr>
          <w:p>
            <w:r>
              <w:rPr>
                <w:sz w:val="20"/>
              </w:rPr>
              <w:t>49,526.17</w:t>
            </w:r>
          </w:p>
        </w:tc>
        <w:tc>
          <w:tcPr>
            <w:tcW w:type="dxa" w:w="2493"/>
            <w:tcBorders>
              <w:top w:val="single" w:sz="4" w:color="BFBFBF"/>
              <w:bottom w:val="single" w:sz="4" w:color="BFBFBF"/>
            </w:tcBorders>
          </w:tcPr>
          <w:p>
            <w:r>
              <w:rPr>
                <w:color w:val="B31B1B"/>
                <w:sz w:val="20"/>
              </w:rPr>
              <w:t>-537.29</w:t>
            </w:r>
          </w:p>
        </w:tc>
        <w:tc>
          <w:tcPr>
            <w:tcW w:type="dxa" w:w="2493"/>
            <w:tcBorders>
              <w:top w:val="single" w:sz="4" w:color="BFBFBF"/>
              <w:bottom w:val="single" w:sz="4" w:color="BFBFBF"/>
            </w:tcBorders>
          </w:tcPr>
          <w:p>
            <w:r>
              <w:rPr>
                <w:color w:val="B31B1B"/>
                <w:sz w:val="20"/>
              </w:rPr>
              <w:t>-1.07%</w:t>
            </w:r>
          </w:p>
        </w:tc>
      </w:tr>
      <w:tr>
        <w:tc>
          <w:tcPr>
            <w:tcW w:type="dxa" w:w="2493"/>
            <w:shd w:val="clear" w:color="auto" w:fill="F4F1E8"/>
            <w:tcBorders>
              <w:top w:val="single" w:sz="4" w:color="BFBFBF"/>
              <w:bottom w:val="single" w:sz="4" w:color="BFBFBF"/>
            </w:tcBorders>
          </w:tcPr>
          <w:p>
            <w:r>
              <w:rPr>
                <w:sz w:val="20"/>
              </w:rPr>
              <w:t>Russell 2000</w:t>
            </w:r>
          </w:p>
        </w:tc>
        <w:tc>
          <w:tcPr>
            <w:tcW w:type="dxa" w:w="2493"/>
            <w:shd w:val="clear" w:color="auto" w:fill="F4F1E8"/>
            <w:tcBorders>
              <w:top w:val="single" w:sz="4" w:color="BFBFBF"/>
              <w:bottom w:val="single" w:sz="4" w:color="BFBFBF"/>
            </w:tcBorders>
          </w:tcPr>
          <w:p>
            <w:r>
              <w:rPr>
                <w:sz w:val="20"/>
              </w:rPr>
              <w:t>2,241.30</w:t>
            </w:r>
          </w:p>
        </w:tc>
        <w:tc>
          <w:tcPr>
            <w:tcW w:type="dxa" w:w="2493"/>
            <w:shd w:val="clear" w:color="auto" w:fill="F4F1E8"/>
            <w:tcBorders>
              <w:top w:val="single" w:sz="4" w:color="BFBFBF"/>
              <w:bottom w:val="single" w:sz="4" w:color="BFBFBF"/>
            </w:tcBorders>
          </w:tcPr>
          <w:p>
            <w:r>
              <w:rPr>
                <w:color w:val="B31B1B"/>
                <w:sz w:val="20"/>
              </w:rPr>
              <w:t>-22.95</w:t>
            </w:r>
          </w:p>
        </w:tc>
        <w:tc>
          <w:tcPr>
            <w:tcW w:type="dxa" w:w="2493"/>
            <w:shd w:val="clear" w:color="auto" w:fill="F4F1E8"/>
            <w:tcBorders>
              <w:top w:val="single" w:sz="4" w:color="BFBFBF"/>
              <w:bottom w:val="single" w:sz="4" w:color="BFBFBF"/>
            </w:tcBorders>
          </w:tcPr>
          <w:p>
            <w:r>
              <w:rPr>
                <w:color w:val="B31B1B"/>
                <w:sz w:val="20"/>
              </w:rPr>
              <w:t>-1.01%</w:t>
            </w:r>
          </w:p>
        </w:tc>
      </w:tr>
      <w:tr>
        <w:tc>
          <w:tcPr>
            <w:tcW w:type="dxa" w:w="2493"/>
            <w:tcBorders>
              <w:top w:val="single" w:sz="4" w:color="BFBFBF"/>
              <w:bottom w:val="single" w:sz="4" w:color="BFBFBF"/>
            </w:tcBorders>
          </w:tcPr>
          <w:p>
            <w:r>
              <w:rPr>
                <w:sz w:val="20"/>
              </w:rPr>
              <w:t>VIX</w:t>
            </w:r>
          </w:p>
        </w:tc>
        <w:tc>
          <w:tcPr>
            <w:tcW w:type="dxa" w:w="2493"/>
            <w:tcBorders>
              <w:top w:val="single" w:sz="4" w:color="BFBFBF"/>
              <w:bottom w:val="single" w:sz="4" w:color="BFBFBF"/>
            </w:tcBorders>
          </w:tcPr>
          <w:p>
            <w:r>
              <w:rPr>
                <w:sz w:val="20"/>
              </w:rPr>
              <w:t>19.8</w:t>
            </w:r>
          </w:p>
        </w:tc>
        <w:tc>
          <w:tcPr>
            <w:tcW w:type="dxa" w:w="2493"/>
            <w:tcBorders>
              <w:top w:val="single" w:sz="4" w:color="BFBFBF"/>
              <w:bottom w:val="single" w:sz="4" w:color="BFBFBF"/>
            </w:tcBorders>
          </w:tcPr>
          <w:p>
            <w:r>
              <w:rPr>
                <w:color w:val="0B6B3A"/>
                <w:sz w:val="20"/>
              </w:rPr>
              <w:t>+2.4</w:t>
            </w:r>
          </w:p>
        </w:tc>
        <w:tc>
          <w:tcPr>
            <w:tcW w:type="dxa" w:w="2493"/>
            <w:tcBorders>
              <w:top w:val="single" w:sz="4" w:color="BFBFBF"/>
              <w:bottom w:val="single" w:sz="4" w:color="BFBFBF"/>
            </w:tcBorders>
          </w:tcPr>
          <w:p>
            <w:r>
              <w:rPr>
                <w:color w:val="0B6B3A"/>
                <w:sz w:val="20"/>
              </w:rPr>
              <w:t>+13.8%</w:t>
            </w:r>
          </w:p>
        </w:tc>
      </w:tr>
    </w:tbl>
    <w:p>
      <w:pPr>
        <w:spacing w:before="200" w:after="40"/>
      </w:pPr>
      <w:r>
        <w:rPr>
          <w:b/>
          <w:color w:val="0A1F44"/>
          <w:sz w:val="22"/>
        </w:rPr>
        <w:t>Rates &amp; FX</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UST 2-Year</w:t>
            </w:r>
          </w:p>
        </w:tc>
        <w:tc>
          <w:tcPr>
            <w:tcW w:type="dxa" w:w="2493"/>
            <w:tcBorders>
              <w:top w:val="single" w:sz="4" w:color="BFBFBF"/>
              <w:bottom w:val="single" w:sz="4" w:color="BFBFBF"/>
            </w:tcBorders>
          </w:tcPr>
          <w:p>
            <w:r>
              <w:rPr>
                <w:sz w:val="20"/>
              </w:rPr>
              <w:t>4.34%</w:t>
            </w:r>
          </w:p>
        </w:tc>
        <w:tc>
          <w:tcPr>
            <w:tcW w:type="dxa" w:w="2493"/>
            <w:tcBorders>
              <w:top w:val="single" w:sz="4" w:color="BFBFBF"/>
              <w:bottom w:val="single" w:sz="4" w:color="BFBFBF"/>
            </w:tcBorders>
          </w:tcPr>
          <w:p>
            <w:r>
              <w:rPr>
                <w:color w:val="0B6B3A"/>
                <w:sz w:val="20"/>
              </w:rPr>
              <w:t>+3 bps</w:t>
            </w:r>
          </w:p>
        </w:tc>
        <w:tc>
          <w:tcPr>
            <w:tcW w:type="dxa" w:w="2493"/>
            <w:tcBorders>
              <w:top w:val="single" w:sz="4" w:color="BFBFBF"/>
              <w:bottom w:val="single" w:sz="4" w:color="BFBFBF"/>
            </w:tcBorders>
          </w:tcPr>
          <w:p>
            <w:r>
              <w:rPr>
                <w:sz w:val="20"/>
              </w:rPr>
              <w:t>—</w:t>
            </w:r>
          </w:p>
        </w:tc>
      </w:tr>
      <w:tr>
        <w:tc>
          <w:tcPr>
            <w:tcW w:type="dxa" w:w="2493"/>
            <w:shd w:val="clear" w:color="auto" w:fill="F4F1E8"/>
            <w:tcBorders>
              <w:top w:val="single" w:sz="4" w:color="BFBFBF"/>
              <w:bottom w:val="single" w:sz="4" w:color="BFBFBF"/>
            </w:tcBorders>
          </w:tcPr>
          <w:p>
            <w:r>
              <w:rPr>
                <w:sz w:val="20"/>
              </w:rPr>
              <w:t>UST 10-Year</w:t>
            </w:r>
          </w:p>
        </w:tc>
        <w:tc>
          <w:tcPr>
            <w:tcW w:type="dxa" w:w="2493"/>
            <w:shd w:val="clear" w:color="auto" w:fill="F4F1E8"/>
            <w:tcBorders>
              <w:top w:val="single" w:sz="4" w:color="BFBFBF"/>
              <w:bottom w:val="single" w:sz="4" w:color="BFBFBF"/>
            </w:tcBorders>
          </w:tcPr>
          <w:p>
            <w:r>
              <w:rPr>
                <w:sz w:val="20"/>
              </w:rPr>
              <w:t>4.63%</w:t>
            </w:r>
          </w:p>
        </w:tc>
        <w:tc>
          <w:tcPr>
            <w:tcW w:type="dxa" w:w="2493"/>
            <w:shd w:val="clear" w:color="auto" w:fill="F4F1E8"/>
            <w:tcBorders>
              <w:top w:val="single" w:sz="4" w:color="BFBFBF"/>
              <w:bottom w:val="single" w:sz="4" w:color="BFBFBF"/>
            </w:tcBorders>
          </w:tcPr>
          <w:p>
            <w:r>
              <w:rPr>
                <w:color w:val="0B6B3A"/>
                <w:sz w:val="20"/>
              </w:rPr>
              <w:t>+4 bps</w:t>
            </w:r>
          </w:p>
        </w:tc>
        <w:tc>
          <w:tcPr>
            <w:tcW w:type="dxa" w:w="2493"/>
            <w:shd w:val="clear" w:color="auto" w:fill="F4F1E8"/>
            <w:tcBorders>
              <w:top w:val="single" w:sz="4" w:color="BFBFBF"/>
              <w:bottom w:val="single" w:sz="4" w:color="BFBFBF"/>
            </w:tcBorders>
          </w:tcPr>
          <w:p>
            <w:r>
              <w:rPr>
                <w:sz w:val="20"/>
              </w:rPr>
              <w:t>—</w:t>
            </w:r>
          </w:p>
        </w:tc>
      </w:tr>
      <w:tr>
        <w:tc>
          <w:tcPr>
            <w:tcW w:type="dxa" w:w="2493"/>
            <w:tcBorders>
              <w:top w:val="single" w:sz="4" w:color="BFBFBF"/>
              <w:bottom w:val="single" w:sz="4" w:color="BFBFBF"/>
            </w:tcBorders>
          </w:tcPr>
          <w:p>
            <w:r>
              <w:rPr>
                <w:sz w:val="20"/>
              </w:rPr>
              <w:t>UST 30-Year</w:t>
            </w:r>
          </w:p>
        </w:tc>
        <w:tc>
          <w:tcPr>
            <w:tcW w:type="dxa" w:w="2493"/>
            <w:tcBorders>
              <w:top w:val="single" w:sz="4" w:color="BFBFBF"/>
              <w:bottom w:val="single" w:sz="4" w:color="BFBFBF"/>
            </w:tcBorders>
          </w:tcPr>
          <w:p>
            <w:r>
              <w:rPr>
                <w:sz w:val="20"/>
              </w:rPr>
              <w:t>4.96%</w:t>
            </w:r>
          </w:p>
        </w:tc>
        <w:tc>
          <w:tcPr>
            <w:tcW w:type="dxa" w:w="2493"/>
            <w:tcBorders>
              <w:top w:val="single" w:sz="4" w:color="BFBFBF"/>
              <w:bottom w:val="single" w:sz="4" w:color="BFBFBF"/>
            </w:tcBorders>
          </w:tcPr>
          <w:p>
            <w:r>
              <w:rPr>
                <w:color w:val="0B6B3A"/>
                <w:sz w:val="20"/>
              </w:rPr>
              <w:t>+5 bps</w:t>
            </w:r>
          </w:p>
        </w:tc>
        <w:tc>
          <w:tcPr>
            <w:tcW w:type="dxa" w:w="2493"/>
            <w:tcBorders>
              <w:top w:val="single" w:sz="4" w:color="BFBFBF"/>
              <w:bottom w:val="single" w:sz="4" w:color="BFBFBF"/>
            </w:tcBorders>
          </w:tcPr>
          <w:p>
            <w:r>
              <w:rPr>
                <w:sz w:val="20"/>
              </w:rPr>
              <w:t>—</w:t>
            </w:r>
          </w:p>
        </w:tc>
      </w:tr>
      <w:tr>
        <w:tc>
          <w:tcPr>
            <w:tcW w:type="dxa" w:w="2493"/>
            <w:shd w:val="clear" w:color="auto" w:fill="F4F1E8"/>
            <w:tcBorders>
              <w:top w:val="single" w:sz="4" w:color="BFBFBF"/>
              <w:bottom w:val="single" w:sz="4" w:color="BFBFBF"/>
            </w:tcBorders>
          </w:tcPr>
          <w:p>
            <w:r>
              <w:rPr>
                <w:sz w:val="20"/>
              </w:rPr>
              <w:t>DXY (Dollar Index)</w:t>
            </w:r>
          </w:p>
        </w:tc>
        <w:tc>
          <w:tcPr>
            <w:tcW w:type="dxa" w:w="2493"/>
            <w:shd w:val="clear" w:color="auto" w:fill="F4F1E8"/>
            <w:tcBorders>
              <w:top w:val="single" w:sz="4" w:color="BFBFBF"/>
              <w:bottom w:val="single" w:sz="4" w:color="BFBFBF"/>
            </w:tcBorders>
          </w:tcPr>
          <w:p>
            <w:r>
              <w:rPr>
                <w:sz w:val="20"/>
              </w:rPr>
              <w:t>99.39</w:t>
            </w:r>
          </w:p>
        </w:tc>
        <w:tc>
          <w:tcPr>
            <w:tcW w:type="dxa" w:w="2493"/>
            <w:shd w:val="clear" w:color="auto" w:fill="F4F1E8"/>
            <w:tcBorders>
              <w:top w:val="single" w:sz="4" w:color="BFBFBF"/>
              <w:bottom w:val="single" w:sz="4" w:color="BFBFBF"/>
            </w:tcBorders>
          </w:tcPr>
          <w:p>
            <w:r>
              <w:rPr>
                <w:color w:val="0B6B3A"/>
                <w:sz w:val="20"/>
              </w:rPr>
              <w:t>+0.11</w:t>
            </w:r>
          </w:p>
        </w:tc>
        <w:tc>
          <w:tcPr>
            <w:tcW w:type="dxa" w:w="2493"/>
            <w:shd w:val="clear" w:color="auto" w:fill="F4F1E8"/>
            <w:tcBorders>
              <w:top w:val="single" w:sz="4" w:color="BFBFBF"/>
              <w:bottom w:val="single" w:sz="4" w:color="BFBFBF"/>
            </w:tcBorders>
          </w:tcPr>
          <w:p>
            <w:r>
              <w:rPr>
                <w:color w:val="0B6B3A"/>
                <w:sz w:val="20"/>
              </w:rPr>
              <w:t>+0.11%</w:t>
            </w:r>
          </w:p>
        </w:tc>
      </w:tr>
      <w:tr>
        <w:tc>
          <w:tcPr>
            <w:tcW w:type="dxa" w:w="2493"/>
            <w:tcBorders>
              <w:top w:val="single" w:sz="4" w:color="BFBFBF"/>
              <w:bottom w:val="single" w:sz="4" w:color="BFBFBF"/>
            </w:tcBorders>
          </w:tcPr>
          <w:p>
            <w:r>
              <w:rPr>
                <w:sz w:val="20"/>
              </w:rPr>
              <w:t>EUR/USD</w:t>
            </w:r>
          </w:p>
        </w:tc>
        <w:tc>
          <w:tcPr>
            <w:tcW w:type="dxa" w:w="2493"/>
            <w:tcBorders>
              <w:top w:val="single" w:sz="4" w:color="BFBFBF"/>
              <w:bottom w:val="single" w:sz="4" w:color="BFBFBF"/>
            </w:tcBorders>
          </w:tcPr>
          <w:p>
            <w:r>
              <w:rPr>
                <w:sz w:val="20"/>
              </w:rPr>
              <w:t>1.0712</w:t>
            </w:r>
          </w:p>
        </w:tc>
        <w:tc>
          <w:tcPr>
            <w:tcW w:type="dxa" w:w="2493"/>
            <w:tcBorders>
              <w:top w:val="single" w:sz="4" w:color="BFBFBF"/>
              <w:bottom w:val="single" w:sz="4" w:color="BFBFBF"/>
            </w:tcBorders>
          </w:tcPr>
          <w:p>
            <w:r>
              <w:rPr>
                <w:color w:val="B31B1B"/>
                <w:sz w:val="20"/>
              </w:rPr>
              <w:t>-0.0015</w:t>
            </w:r>
          </w:p>
        </w:tc>
        <w:tc>
          <w:tcPr>
            <w:tcW w:type="dxa" w:w="2493"/>
            <w:tcBorders>
              <w:top w:val="single" w:sz="4" w:color="BFBFBF"/>
              <w:bottom w:val="single" w:sz="4" w:color="BFBFBF"/>
            </w:tcBorders>
          </w:tcPr>
          <w:p>
            <w:r>
              <w:rPr>
                <w:color w:val="B31B1B"/>
                <w:sz w:val="20"/>
              </w:rPr>
              <w:t>-0.14%</w:t>
            </w:r>
          </w:p>
        </w:tc>
      </w:tr>
      <w:tr>
        <w:tc>
          <w:tcPr>
            <w:tcW w:type="dxa" w:w="2493"/>
            <w:shd w:val="clear" w:color="auto" w:fill="F4F1E8"/>
            <w:tcBorders>
              <w:top w:val="single" w:sz="4" w:color="BFBFBF"/>
              <w:bottom w:val="single" w:sz="4" w:color="BFBFBF"/>
            </w:tcBorders>
          </w:tcPr>
          <w:p>
            <w:r>
              <w:rPr>
                <w:sz w:val="20"/>
              </w:rPr>
              <w:t>USD/JPY</w:t>
            </w:r>
          </w:p>
        </w:tc>
        <w:tc>
          <w:tcPr>
            <w:tcW w:type="dxa" w:w="2493"/>
            <w:shd w:val="clear" w:color="auto" w:fill="F4F1E8"/>
            <w:tcBorders>
              <w:top w:val="single" w:sz="4" w:color="BFBFBF"/>
              <w:bottom w:val="single" w:sz="4" w:color="BFBFBF"/>
            </w:tcBorders>
          </w:tcPr>
          <w:p>
            <w:r>
              <w:rPr>
                <w:sz w:val="20"/>
              </w:rPr>
              <w:t>159.40</w:t>
            </w:r>
          </w:p>
        </w:tc>
        <w:tc>
          <w:tcPr>
            <w:tcW w:type="dxa" w:w="2493"/>
            <w:shd w:val="clear" w:color="auto" w:fill="F4F1E8"/>
            <w:tcBorders>
              <w:top w:val="single" w:sz="4" w:color="BFBFBF"/>
              <w:bottom w:val="single" w:sz="4" w:color="BFBFBF"/>
            </w:tcBorders>
          </w:tcPr>
          <w:p>
            <w:r>
              <w:rPr>
                <w:color w:val="0B6B3A"/>
                <w:sz w:val="20"/>
              </w:rPr>
              <w:t>+0.65</w:t>
            </w:r>
          </w:p>
        </w:tc>
        <w:tc>
          <w:tcPr>
            <w:tcW w:type="dxa" w:w="2493"/>
            <w:shd w:val="clear" w:color="auto" w:fill="F4F1E8"/>
            <w:tcBorders>
              <w:top w:val="single" w:sz="4" w:color="BFBFBF"/>
              <w:bottom w:val="single" w:sz="4" w:color="BFBFBF"/>
            </w:tcBorders>
          </w:tcPr>
          <w:p>
            <w:r>
              <w:rPr>
                <w:color w:val="0B6B3A"/>
                <w:sz w:val="20"/>
              </w:rPr>
              <w:t>+0.41%</w:t>
            </w:r>
          </w:p>
        </w:tc>
      </w:tr>
    </w:tbl>
    <w:p>
      <w:pPr>
        <w:spacing w:before="200" w:after="40"/>
      </w:pPr>
      <w:r>
        <w:rPr>
          <w:b/>
          <w:color w:val="0A1F44"/>
          <w:sz w:val="22"/>
        </w:rPr>
        <w:t>Commodities &amp; Crypto</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WTI Crude (Jun)</w:t>
            </w:r>
          </w:p>
        </w:tc>
        <w:tc>
          <w:tcPr>
            <w:tcW w:type="dxa" w:w="2493"/>
            <w:tcBorders>
              <w:top w:val="single" w:sz="4" w:color="BFBFBF"/>
              <w:bottom w:val="single" w:sz="4" w:color="BFBFBF"/>
            </w:tcBorders>
          </w:tcPr>
          <w:p>
            <w:r>
              <w:rPr>
                <w:sz w:val="20"/>
              </w:rPr>
              <w:t>$106.65</w:t>
            </w:r>
          </w:p>
        </w:tc>
        <w:tc>
          <w:tcPr>
            <w:tcW w:type="dxa" w:w="2493"/>
            <w:tcBorders>
              <w:top w:val="single" w:sz="4" w:color="BFBFBF"/>
              <w:bottom w:val="single" w:sz="4" w:color="BFBFBF"/>
            </w:tcBorders>
          </w:tcPr>
          <w:p>
            <w:r>
              <w:rPr>
                <w:color w:val="0B6B3A"/>
                <w:sz w:val="20"/>
              </w:rPr>
              <w:t>+$1.23</w:t>
            </w:r>
          </w:p>
        </w:tc>
        <w:tc>
          <w:tcPr>
            <w:tcW w:type="dxa" w:w="2493"/>
            <w:tcBorders>
              <w:top w:val="single" w:sz="4" w:color="BFBFBF"/>
              <w:bottom w:val="single" w:sz="4" w:color="BFBFBF"/>
            </w:tcBorders>
          </w:tcPr>
          <w:p>
            <w:r>
              <w:rPr>
                <w:color w:val="0B6B3A"/>
                <w:sz w:val="20"/>
              </w:rPr>
              <w:t>+1.17%</w:t>
            </w:r>
          </w:p>
        </w:tc>
      </w:tr>
      <w:tr>
        <w:tc>
          <w:tcPr>
            <w:tcW w:type="dxa" w:w="2493"/>
            <w:shd w:val="clear" w:color="auto" w:fill="F4F1E8"/>
            <w:tcBorders>
              <w:top w:val="single" w:sz="4" w:color="BFBFBF"/>
              <w:bottom w:val="single" w:sz="4" w:color="BFBFBF"/>
            </w:tcBorders>
          </w:tcPr>
          <w:p>
            <w:r>
              <w:rPr>
                <w:sz w:val="20"/>
              </w:rPr>
              <w:t>Brent Crude (Jul)</w:t>
            </w:r>
          </w:p>
        </w:tc>
        <w:tc>
          <w:tcPr>
            <w:tcW w:type="dxa" w:w="2493"/>
            <w:shd w:val="clear" w:color="auto" w:fill="F4F1E8"/>
            <w:tcBorders>
              <w:top w:val="single" w:sz="4" w:color="BFBFBF"/>
              <w:bottom w:val="single" w:sz="4" w:color="BFBFBF"/>
            </w:tcBorders>
          </w:tcPr>
          <w:p>
            <w:r>
              <w:rPr>
                <w:sz w:val="20"/>
              </w:rPr>
              <w:t>$110.12</w:t>
            </w:r>
          </w:p>
        </w:tc>
        <w:tc>
          <w:tcPr>
            <w:tcW w:type="dxa" w:w="2493"/>
            <w:shd w:val="clear" w:color="auto" w:fill="F4F1E8"/>
            <w:tcBorders>
              <w:top w:val="single" w:sz="4" w:color="BFBFBF"/>
              <w:bottom w:val="single" w:sz="4" w:color="BFBFBF"/>
            </w:tcBorders>
          </w:tcPr>
          <w:p>
            <w:r>
              <w:rPr>
                <w:color w:val="0B6B3A"/>
                <w:sz w:val="20"/>
              </w:rPr>
              <w:t>+$0.86</w:t>
            </w:r>
          </w:p>
        </w:tc>
        <w:tc>
          <w:tcPr>
            <w:tcW w:type="dxa" w:w="2493"/>
            <w:shd w:val="clear" w:color="auto" w:fill="F4F1E8"/>
            <w:tcBorders>
              <w:top w:val="single" w:sz="4" w:color="BFBFBF"/>
              <w:bottom w:val="single" w:sz="4" w:color="BFBFBF"/>
            </w:tcBorders>
          </w:tcPr>
          <w:p>
            <w:r>
              <w:rPr>
                <w:color w:val="0B6B3A"/>
                <w:sz w:val="20"/>
              </w:rPr>
              <w:t>+0.79%</w:t>
            </w:r>
          </w:p>
        </w:tc>
      </w:tr>
      <w:tr>
        <w:tc>
          <w:tcPr>
            <w:tcW w:type="dxa" w:w="2493"/>
            <w:tcBorders>
              <w:top w:val="single" w:sz="4" w:color="BFBFBF"/>
              <w:bottom w:val="single" w:sz="4" w:color="BFBFBF"/>
            </w:tcBorders>
          </w:tcPr>
          <w:p>
            <w:r>
              <w:rPr>
                <w:sz w:val="20"/>
              </w:rPr>
              <w:t>Gold (spot)</w:t>
            </w:r>
          </w:p>
        </w:tc>
        <w:tc>
          <w:tcPr>
            <w:tcW w:type="dxa" w:w="2493"/>
            <w:tcBorders>
              <w:top w:val="single" w:sz="4" w:color="BFBFBF"/>
              <w:bottom w:val="single" w:sz="4" w:color="BFBFBF"/>
            </w:tcBorders>
          </w:tcPr>
          <w:p>
            <w:r>
              <w:rPr>
                <w:sz w:val="20"/>
              </w:rPr>
              <w:t>$1,750</w:t>
            </w:r>
          </w:p>
        </w:tc>
        <w:tc>
          <w:tcPr>
            <w:tcW w:type="dxa" w:w="2493"/>
            <w:tcBorders>
              <w:top w:val="single" w:sz="4" w:color="BFBFBF"/>
              <w:bottom w:val="single" w:sz="4" w:color="BFBFBF"/>
            </w:tcBorders>
          </w:tcPr>
          <w:p>
            <w:r>
              <w:rPr>
                <w:color w:val="B31B1B"/>
                <w:sz w:val="20"/>
              </w:rPr>
              <w:t>-$18</w:t>
            </w:r>
          </w:p>
        </w:tc>
        <w:tc>
          <w:tcPr>
            <w:tcW w:type="dxa" w:w="2493"/>
            <w:tcBorders>
              <w:top w:val="single" w:sz="4" w:color="BFBFBF"/>
              <w:bottom w:val="single" w:sz="4" w:color="BFBFBF"/>
            </w:tcBorders>
          </w:tcPr>
          <w:p>
            <w:r>
              <w:rPr>
                <w:color w:val="B31B1B"/>
                <w:sz w:val="20"/>
              </w:rPr>
              <w:t>-1.02%</w:t>
            </w:r>
          </w:p>
        </w:tc>
      </w:tr>
      <w:tr>
        <w:tc>
          <w:tcPr>
            <w:tcW w:type="dxa" w:w="2493"/>
            <w:shd w:val="clear" w:color="auto" w:fill="F4F1E8"/>
            <w:tcBorders>
              <w:top w:val="single" w:sz="4" w:color="BFBFBF"/>
              <w:bottom w:val="single" w:sz="4" w:color="BFBFBF"/>
            </w:tcBorders>
          </w:tcPr>
          <w:p>
            <w:r>
              <w:rPr>
                <w:sz w:val="20"/>
              </w:rPr>
              <w:t>Silver (spot)</w:t>
            </w:r>
          </w:p>
        </w:tc>
        <w:tc>
          <w:tcPr>
            <w:tcW w:type="dxa" w:w="2493"/>
            <w:shd w:val="clear" w:color="auto" w:fill="F4F1E8"/>
            <w:tcBorders>
              <w:top w:val="single" w:sz="4" w:color="BFBFBF"/>
              <w:bottom w:val="single" w:sz="4" w:color="BFBFBF"/>
            </w:tcBorders>
          </w:tcPr>
          <w:p>
            <w:r>
              <w:rPr>
                <w:sz w:val="20"/>
              </w:rPr>
              <w:t>$20.05</w:t>
            </w:r>
          </w:p>
        </w:tc>
        <w:tc>
          <w:tcPr>
            <w:tcW w:type="dxa" w:w="2493"/>
            <w:shd w:val="clear" w:color="auto" w:fill="F4F1E8"/>
            <w:tcBorders>
              <w:top w:val="single" w:sz="4" w:color="BFBFBF"/>
              <w:bottom w:val="single" w:sz="4" w:color="BFBFBF"/>
            </w:tcBorders>
          </w:tcPr>
          <w:p>
            <w:r>
              <w:rPr>
                <w:color w:val="B31B1B"/>
                <w:sz w:val="20"/>
              </w:rPr>
              <w:t>-$0.42</w:t>
            </w:r>
          </w:p>
        </w:tc>
        <w:tc>
          <w:tcPr>
            <w:tcW w:type="dxa" w:w="2493"/>
            <w:shd w:val="clear" w:color="auto" w:fill="F4F1E8"/>
            <w:tcBorders>
              <w:top w:val="single" w:sz="4" w:color="BFBFBF"/>
              <w:bottom w:val="single" w:sz="4" w:color="BFBFBF"/>
            </w:tcBorders>
          </w:tcPr>
          <w:p>
            <w:r>
              <w:rPr>
                <w:color w:val="B31B1B"/>
                <w:sz w:val="20"/>
              </w:rPr>
              <w:t>-2.05%</w:t>
            </w:r>
          </w:p>
        </w:tc>
      </w:tr>
      <w:tr>
        <w:tc>
          <w:tcPr>
            <w:tcW w:type="dxa" w:w="2493"/>
            <w:tcBorders>
              <w:top w:val="single" w:sz="4" w:color="BFBFBF"/>
              <w:bottom w:val="single" w:sz="4" w:color="BFBFBF"/>
            </w:tcBorders>
          </w:tcPr>
          <w:p>
            <w:r>
              <w:rPr>
                <w:sz w:val="20"/>
              </w:rPr>
              <w:t>Bitcoin</w:t>
            </w:r>
          </w:p>
        </w:tc>
        <w:tc>
          <w:tcPr>
            <w:tcW w:type="dxa" w:w="2493"/>
            <w:tcBorders>
              <w:top w:val="single" w:sz="4" w:color="BFBFBF"/>
              <w:bottom w:val="single" w:sz="4" w:color="BFBFBF"/>
            </w:tcBorders>
          </w:tcPr>
          <w:p>
            <w:r>
              <w:rPr>
                <w:sz w:val="20"/>
              </w:rPr>
              <w:t>$76,905</w:t>
            </w:r>
          </w:p>
        </w:tc>
        <w:tc>
          <w:tcPr>
            <w:tcW w:type="dxa" w:w="2493"/>
            <w:tcBorders>
              <w:top w:val="single" w:sz="4" w:color="BFBFBF"/>
              <w:bottom w:val="single" w:sz="4" w:color="BFBFBF"/>
            </w:tcBorders>
          </w:tcPr>
          <w:p>
            <w:r>
              <w:rPr>
                <w:color w:val="B31B1B"/>
                <w:sz w:val="20"/>
              </w:rPr>
              <w:t>-$1,095</w:t>
            </w:r>
          </w:p>
        </w:tc>
        <w:tc>
          <w:tcPr>
            <w:tcW w:type="dxa" w:w="2493"/>
            <w:tcBorders>
              <w:top w:val="single" w:sz="4" w:color="BFBFBF"/>
              <w:bottom w:val="single" w:sz="4" w:color="BFBFBF"/>
            </w:tcBorders>
          </w:tcPr>
          <w:p>
            <w:r>
              <w:rPr>
                <w:color w:val="B31B1B"/>
                <w:sz w:val="20"/>
              </w:rPr>
              <w:t>-1.41%</w:t>
            </w:r>
          </w:p>
        </w:tc>
      </w:tr>
    </w:tbl>
    <w:p>
      <w:pPr>
        <w:spacing w:before="200" w:after="40"/>
      </w:pPr>
      <w:r>
        <w:rPr>
          <w:b/>
          <w:color w:val="0A1F44"/>
          <w:sz w:val="22"/>
        </w:rPr>
        <w:t>Asia &amp; Europe</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Nikkei 225</w:t>
            </w:r>
          </w:p>
        </w:tc>
        <w:tc>
          <w:tcPr>
            <w:tcW w:type="dxa" w:w="2493"/>
            <w:tcBorders>
              <w:top w:val="single" w:sz="4" w:color="BFBFBF"/>
              <w:bottom w:val="single" w:sz="4" w:color="BFBFBF"/>
            </w:tcBorders>
          </w:tcPr>
          <w:p>
            <w:r>
              <w:rPr>
                <w:sz w:val="20"/>
              </w:rPr>
              <w:t>38,420</w:t>
            </w:r>
          </w:p>
        </w:tc>
        <w:tc>
          <w:tcPr>
            <w:tcW w:type="dxa" w:w="2493"/>
            <w:tcBorders>
              <w:top w:val="single" w:sz="4" w:color="BFBFBF"/>
              <w:bottom w:val="single" w:sz="4" w:color="BFBFBF"/>
            </w:tcBorders>
          </w:tcPr>
          <w:p>
            <w:r>
              <w:rPr>
                <w:color w:val="B31B1B"/>
                <w:sz w:val="20"/>
              </w:rPr>
              <w:t>-310</w:t>
            </w:r>
          </w:p>
        </w:tc>
        <w:tc>
          <w:tcPr>
            <w:tcW w:type="dxa" w:w="2493"/>
            <w:tcBorders>
              <w:top w:val="single" w:sz="4" w:color="BFBFBF"/>
              <w:bottom w:val="single" w:sz="4" w:color="BFBFBF"/>
            </w:tcBorders>
          </w:tcPr>
          <w:p>
            <w:r>
              <w:rPr>
                <w:color w:val="B31B1B"/>
                <w:sz w:val="20"/>
              </w:rPr>
              <w:t>-0.80%</w:t>
            </w:r>
          </w:p>
        </w:tc>
      </w:tr>
      <w:tr>
        <w:tc>
          <w:tcPr>
            <w:tcW w:type="dxa" w:w="2493"/>
            <w:shd w:val="clear" w:color="auto" w:fill="F4F1E8"/>
            <w:tcBorders>
              <w:top w:val="single" w:sz="4" w:color="BFBFBF"/>
              <w:bottom w:val="single" w:sz="4" w:color="BFBFBF"/>
            </w:tcBorders>
          </w:tcPr>
          <w:p>
            <w:r>
              <w:rPr>
                <w:sz w:val="20"/>
              </w:rPr>
              <w:t>Hang Seng</w:t>
            </w:r>
          </w:p>
        </w:tc>
        <w:tc>
          <w:tcPr>
            <w:tcW w:type="dxa" w:w="2493"/>
            <w:shd w:val="clear" w:color="auto" w:fill="F4F1E8"/>
            <w:tcBorders>
              <w:top w:val="single" w:sz="4" w:color="BFBFBF"/>
              <w:bottom w:val="single" w:sz="4" w:color="BFBFBF"/>
            </w:tcBorders>
          </w:tcPr>
          <w:p>
            <w:r>
              <w:rPr>
                <w:sz w:val="20"/>
              </w:rPr>
              <w:t>21,150</w:t>
            </w:r>
          </w:p>
        </w:tc>
        <w:tc>
          <w:tcPr>
            <w:tcW w:type="dxa" w:w="2493"/>
            <w:shd w:val="clear" w:color="auto" w:fill="F4F1E8"/>
            <w:tcBorders>
              <w:top w:val="single" w:sz="4" w:color="BFBFBF"/>
              <w:bottom w:val="single" w:sz="4" w:color="BFBFBF"/>
            </w:tcBorders>
          </w:tcPr>
          <w:p>
            <w:r>
              <w:rPr>
                <w:color w:val="B31B1B"/>
                <w:sz w:val="20"/>
              </w:rPr>
              <w:t>-265</w:t>
            </w:r>
          </w:p>
        </w:tc>
        <w:tc>
          <w:tcPr>
            <w:tcW w:type="dxa" w:w="2493"/>
            <w:shd w:val="clear" w:color="auto" w:fill="F4F1E8"/>
            <w:tcBorders>
              <w:top w:val="single" w:sz="4" w:color="BFBFBF"/>
              <w:bottom w:val="single" w:sz="4" w:color="BFBFBF"/>
            </w:tcBorders>
          </w:tcPr>
          <w:p>
            <w:r>
              <w:rPr>
                <w:color w:val="B31B1B"/>
                <w:sz w:val="20"/>
              </w:rPr>
              <w:t>-1.24%</w:t>
            </w:r>
          </w:p>
        </w:tc>
      </w:tr>
      <w:tr>
        <w:tc>
          <w:tcPr>
            <w:tcW w:type="dxa" w:w="2493"/>
            <w:tcBorders>
              <w:top w:val="single" w:sz="4" w:color="BFBFBF"/>
              <w:bottom w:val="single" w:sz="4" w:color="BFBFBF"/>
            </w:tcBorders>
          </w:tcPr>
          <w:p>
            <w:r>
              <w:rPr>
                <w:sz w:val="20"/>
              </w:rPr>
              <w:t>Australia ASX 200</w:t>
            </w:r>
          </w:p>
        </w:tc>
        <w:tc>
          <w:tcPr>
            <w:tcW w:type="dxa" w:w="2493"/>
            <w:tcBorders>
              <w:top w:val="single" w:sz="4" w:color="BFBFBF"/>
              <w:bottom w:val="single" w:sz="4" w:color="BFBFBF"/>
            </w:tcBorders>
          </w:tcPr>
          <w:p>
            <w:r>
              <w:rPr>
                <w:sz w:val="20"/>
              </w:rPr>
              <w:t>8,505.30</w:t>
            </w:r>
          </w:p>
        </w:tc>
        <w:tc>
          <w:tcPr>
            <w:tcW w:type="dxa" w:w="2493"/>
            <w:tcBorders>
              <w:top w:val="single" w:sz="4" w:color="BFBFBF"/>
              <w:bottom w:val="single" w:sz="4" w:color="BFBFBF"/>
            </w:tcBorders>
          </w:tcPr>
          <w:p>
            <w:r>
              <w:rPr>
                <w:color w:val="B31B1B"/>
                <w:sz w:val="20"/>
              </w:rPr>
              <w:t>-125.20</w:t>
            </w:r>
          </w:p>
        </w:tc>
        <w:tc>
          <w:tcPr>
            <w:tcW w:type="dxa" w:w="2493"/>
            <w:tcBorders>
              <w:top w:val="single" w:sz="4" w:color="BFBFBF"/>
              <w:bottom w:val="single" w:sz="4" w:color="BFBFBF"/>
            </w:tcBorders>
          </w:tcPr>
          <w:p>
            <w:r>
              <w:rPr>
                <w:color w:val="B31B1B"/>
                <w:sz w:val="20"/>
              </w:rPr>
              <w:t>-1.45%</w:t>
            </w:r>
          </w:p>
        </w:tc>
      </w:tr>
      <w:tr>
        <w:tc>
          <w:tcPr>
            <w:tcW w:type="dxa" w:w="2493"/>
            <w:shd w:val="clear" w:color="auto" w:fill="F4F1E8"/>
            <w:tcBorders>
              <w:top w:val="single" w:sz="4" w:color="BFBFBF"/>
              <w:bottom w:val="single" w:sz="4" w:color="BFBFBF"/>
            </w:tcBorders>
          </w:tcPr>
          <w:p>
            <w:r>
              <w:rPr>
                <w:sz w:val="20"/>
              </w:rPr>
              <w:t>Stoxx Europe 600</w:t>
            </w:r>
          </w:p>
        </w:tc>
        <w:tc>
          <w:tcPr>
            <w:tcW w:type="dxa" w:w="2493"/>
            <w:shd w:val="clear" w:color="auto" w:fill="F4F1E8"/>
            <w:tcBorders>
              <w:top w:val="single" w:sz="4" w:color="BFBFBF"/>
              <w:bottom w:val="single" w:sz="4" w:color="BFBFBF"/>
            </w:tcBorders>
          </w:tcPr>
          <w:p>
            <w:r>
              <w:rPr>
                <w:sz w:val="20"/>
              </w:rPr>
              <w:t>555.40</w:t>
            </w:r>
          </w:p>
        </w:tc>
        <w:tc>
          <w:tcPr>
            <w:tcW w:type="dxa" w:w="2493"/>
            <w:shd w:val="clear" w:color="auto" w:fill="F4F1E8"/>
            <w:tcBorders>
              <w:top w:val="single" w:sz="4" w:color="BFBFBF"/>
              <w:bottom w:val="single" w:sz="4" w:color="BFBFBF"/>
            </w:tcBorders>
          </w:tcPr>
          <w:p>
            <w:r>
              <w:rPr>
                <w:color w:val="0B6B3A"/>
                <w:sz w:val="20"/>
              </w:rPr>
              <w:t>+3.30</w:t>
            </w:r>
          </w:p>
        </w:tc>
        <w:tc>
          <w:tcPr>
            <w:tcW w:type="dxa" w:w="2493"/>
            <w:shd w:val="clear" w:color="auto" w:fill="F4F1E8"/>
            <w:tcBorders>
              <w:top w:val="single" w:sz="4" w:color="BFBFBF"/>
              <w:bottom w:val="single" w:sz="4" w:color="BFBFBF"/>
            </w:tcBorders>
          </w:tcPr>
          <w:p>
            <w:r>
              <w:rPr>
                <w:color w:val="0B6B3A"/>
                <w:sz w:val="20"/>
              </w:rPr>
              <w:t>+0.60%</w:t>
            </w:r>
          </w:p>
        </w:tc>
      </w:tr>
      <w:tr>
        <w:tc>
          <w:tcPr>
            <w:tcW w:type="dxa" w:w="2493"/>
            <w:tcBorders>
              <w:top w:val="single" w:sz="4" w:color="BFBFBF"/>
              <w:bottom w:val="single" w:sz="4" w:color="BFBFBF"/>
            </w:tcBorders>
          </w:tcPr>
          <w:p>
            <w:r>
              <w:rPr>
                <w:sz w:val="20"/>
              </w:rPr>
              <w:t>FTSE 100</w:t>
            </w:r>
          </w:p>
        </w:tc>
        <w:tc>
          <w:tcPr>
            <w:tcW w:type="dxa" w:w="2493"/>
            <w:tcBorders>
              <w:top w:val="single" w:sz="4" w:color="BFBFBF"/>
              <w:bottom w:val="single" w:sz="4" w:color="BFBFBF"/>
            </w:tcBorders>
          </w:tcPr>
          <w:p>
            <w:r>
              <w:rPr>
                <w:sz w:val="20"/>
              </w:rPr>
              <w:t>8,720</w:t>
            </w:r>
          </w:p>
        </w:tc>
        <w:tc>
          <w:tcPr>
            <w:tcW w:type="dxa" w:w="2493"/>
            <w:tcBorders>
              <w:top w:val="single" w:sz="4" w:color="BFBFBF"/>
              <w:bottom w:val="single" w:sz="4" w:color="BFBFBF"/>
            </w:tcBorders>
          </w:tcPr>
          <w:p>
            <w:r>
              <w:rPr>
                <w:color w:val="0B6B3A"/>
                <w:sz w:val="20"/>
              </w:rPr>
              <w:t>+45</w:t>
            </w:r>
          </w:p>
        </w:tc>
        <w:tc>
          <w:tcPr>
            <w:tcW w:type="dxa" w:w="2493"/>
            <w:tcBorders>
              <w:top w:val="single" w:sz="4" w:color="BFBFBF"/>
              <w:bottom w:val="single" w:sz="4" w:color="BFBFBF"/>
            </w:tcBorders>
          </w:tcPr>
          <w:p>
            <w:r>
              <w:rPr>
                <w:color w:val="0B6B3A"/>
                <w:sz w:val="20"/>
              </w:rPr>
              <w:t>+0.52%</w:t>
            </w:r>
          </w:p>
        </w:tc>
      </w:tr>
      <w:tr>
        <w:tc>
          <w:tcPr>
            <w:tcW w:type="dxa" w:w="2493"/>
            <w:shd w:val="clear" w:color="auto" w:fill="F4F1E8"/>
            <w:tcBorders>
              <w:top w:val="single" w:sz="4" w:color="BFBFBF"/>
              <w:bottom w:val="single" w:sz="4" w:color="BFBFBF"/>
            </w:tcBorders>
          </w:tcPr>
          <w:p>
            <w:r>
              <w:rPr>
                <w:sz w:val="20"/>
              </w:rPr>
              <w:t>DAX</w:t>
            </w:r>
          </w:p>
        </w:tc>
        <w:tc>
          <w:tcPr>
            <w:tcW w:type="dxa" w:w="2493"/>
            <w:shd w:val="clear" w:color="auto" w:fill="F4F1E8"/>
            <w:tcBorders>
              <w:top w:val="single" w:sz="4" w:color="BFBFBF"/>
              <w:bottom w:val="single" w:sz="4" w:color="BFBFBF"/>
            </w:tcBorders>
          </w:tcPr>
          <w:p>
            <w:r>
              <w:rPr>
                <w:sz w:val="20"/>
              </w:rPr>
              <w:t>19,840</w:t>
            </w:r>
          </w:p>
        </w:tc>
        <w:tc>
          <w:tcPr>
            <w:tcW w:type="dxa" w:w="2493"/>
            <w:shd w:val="clear" w:color="auto" w:fill="F4F1E8"/>
            <w:tcBorders>
              <w:top w:val="single" w:sz="4" w:color="BFBFBF"/>
              <w:bottom w:val="single" w:sz="4" w:color="BFBFBF"/>
            </w:tcBorders>
          </w:tcPr>
          <w:p>
            <w:r>
              <w:rPr>
                <w:color w:val="0B6B3A"/>
                <w:sz w:val="20"/>
              </w:rPr>
              <w:t>+115</w:t>
            </w:r>
          </w:p>
        </w:tc>
        <w:tc>
          <w:tcPr>
            <w:tcW w:type="dxa" w:w="2493"/>
            <w:shd w:val="clear" w:color="auto" w:fill="F4F1E8"/>
            <w:tcBorders>
              <w:top w:val="single" w:sz="4" w:color="BFBFBF"/>
              <w:bottom w:val="single" w:sz="4" w:color="BFBFBF"/>
            </w:tcBorders>
          </w:tcPr>
          <w:p>
            <w:r>
              <w:rPr>
                <w:color w:val="0B6B3A"/>
                <w:sz w:val="20"/>
              </w:rPr>
              <w:t>+0.58%</w:t>
            </w:r>
          </w:p>
        </w:tc>
      </w:tr>
    </w:tbl>
    <w:p>
      <w:pPr>
        <w:spacing w:before="360" w:after="120"/>
        <w:pBdr>
          <w:bottom w:val="single" w:sz="12" w:color="C9A227"/>
        </w:pBdr>
      </w:pPr>
      <w:r>
        <w:rPr>
          <w:rFonts w:ascii="Calibri" w:hAnsi="Calibri"/>
          <w:b/>
          <w:color w:val="0A1F44"/>
          <w:sz w:val="26"/>
        </w:rPr>
        <w:t>3. TOP STORIES</w:t>
      </w:r>
    </w:p>
    <w:p>
      <w:pPr>
        <w:spacing w:before="200" w:after="40"/>
      </w:pPr>
      <w:r>
        <w:rPr>
          <w:b/>
          <w:color w:val="0A1F44"/>
          <w:sz w:val="22"/>
        </w:rPr>
        <w:t>Hormuz Crisis Enters Week Six — Trump Warns Tehran 'Clock Is Ticking'</w:t>
      </w:r>
    </w:p>
    <w:p>
      <w:pPr>
        <w:spacing w:after="120"/>
      </w:pPr>
      <w:r>
        <w:rPr>
          <w:i w:val="0"/>
          <w:color w:val="101010"/>
          <w:sz w:val="21"/>
        </w:rPr>
        <w:t>Brent crude touched $111.40 in Asian trading after President Trump warned Iran via overnight post that 'there won't be anything left of them' if a deal isn't reached this week. Iranian state media countered with claims that Washington has offered a temporary sanctions waiver, which the State Department neither confirmed nor denied. Vice President Vance is in Islamabad today, with Pakistani mediation viewed as the last credible track before the two-week conditional ceasefire that began April 8 fully unravels. Roughly 20% of global seaborne oil — and a third of the world's LNG cargoes — would normally transit Hormuz; insurance rates for vessels still willing to attempt the passage are now five times pre-crisis levels. Energy desks are penciling another 75 cents on the May CPI energy component for every week the strait stays closed.</w:t>
      </w:r>
    </w:p>
    <w:p>
      <w:pPr>
        <w:spacing w:before="200" w:after="40"/>
      </w:pPr>
      <w:r>
        <w:rPr>
          <w:b/>
          <w:color w:val="0A1F44"/>
          <w:sz w:val="22"/>
        </w:rPr>
        <w:t>Tech Selloff Resumes as 30-Year Yield Threatens 5%</w:t>
      </w:r>
    </w:p>
    <w:p>
      <w:pPr>
        <w:spacing w:after="120"/>
      </w:pPr>
      <w:r>
        <w:rPr>
          <w:i w:val="0"/>
          <w:color w:val="101010"/>
          <w:sz w:val="21"/>
        </w:rPr>
        <w:t>Friday's drubbing left the Nasdaq Composite 4.1% off its May 12 record close, with the Magnificent Seven shedding a combined $720 billion in market cap over two sessions. The proximate trigger was a 7-basis-point pop in the 30-year Treasury yield to 4.96% after the hotter-than-expected PPI report on Thursday, followed by hedge-fund deleveraging into Friday's OpEx. The 30-year is now within striking distance of the 5% line — a level that, when last breached in October 2023, marked the high-water mark of that cycle's bond rout. Watch the 1:00 p.m. ET 20-year auction Wednesday; a tail of more than 2 basis points would likely set off another round of duration-driven equity selling.</w:t>
      </w:r>
    </w:p>
    <w:p>
      <w:pPr>
        <w:spacing w:before="200" w:after="40"/>
      </w:pPr>
      <w:r>
        <w:rPr>
          <w:b/>
          <w:color w:val="0A1F44"/>
          <w:sz w:val="22"/>
        </w:rPr>
        <w:t>Trump–Xi Summit Ends Without Breakthrough; Tariff Path Murky</w:t>
      </w:r>
    </w:p>
    <w:p>
      <w:pPr>
        <w:spacing w:after="120"/>
      </w:pPr>
      <w:r>
        <w:rPr>
          <w:i w:val="0"/>
          <w:color w:val="101010"/>
          <w:sz w:val="21"/>
        </w:rPr>
        <w:t>President Trump's three-day summit with President Xi concluded Friday morning in Beijing with no joint communiqué, no agreement on the December tariff cliff, and conspicuously cool body language at the closing photo op. Both sides agreed to 'continued dialogue,' which Wall Street translated into 'no deal.' The yuan weakened 0.4% against the dollar overnight. Semiconductor equipment names (AMAT, LRCX, KLAC) are indicated 1–2% lower pre-market on concerns the October export-control updates may be reapplied without the carve-outs that were briefly floated. China-exposed luxury and EV-supply-chain names also under pressure.</w:t>
      </w:r>
    </w:p>
    <w:p>
      <w:pPr>
        <w:spacing w:before="200" w:after="40"/>
      </w:pPr>
      <w:r>
        <w:rPr>
          <w:b/>
          <w:color w:val="0A1F44"/>
          <w:sz w:val="22"/>
        </w:rPr>
        <w:t>Nvidia Earnings Wednesday: The Biggest Print of the Year</w:t>
      </w:r>
    </w:p>
    <w:p>
      <w:pPr>
        <w:spacing w:after="120"/>
      </w:pPr>
      <w:r>
        <w:rPr>
          <w:i w:val="0"/>
          <w:color w:val="101010"/>
          <w:sz w:val="21"/>
        </w:rPr>
        <w:t>Nvidia reports Q1 FY27 after Wednesday's close, with the Street looking for roughly $78 billion in revenue and $1.77 in non-GAAP EPS — implying a 78% top-line and 115% bottom-line growth rate. Data-center revenue consensus sits near $73 billion. The number that actually matters, per the buy-side notes circulating this morning, is Q2 FY27 guidance: anything below $87 billion would be a meaningful disappointment, while a Q2 print above $90 billion would almost certainly drag the Nasdaq off its post-Friday lows. Goldman reiterated its Buy rating and $250 price target overnight, citing 'meaningful undervaluation' versus historical multiples. Polymarket's implied probability of a beat sits at 90%.</w:t>
      </w:r>
    </w:p>
    <w:p>
      <w:pPr>
        <w:spacing w:before="200" w:after="40"/>
      </w:pPr>
      <w:r>
        <w:rPr>
          <w:b/>
          <w:color w:val="0A1F44"/>
          <w:sz w:val="22"/>
        </w:rPr>
        <w:t>Hot CPI/PPI Combo Forces Fed Pivot Talk — to the Other Direction</w:t>
      </w:r>
    </w:p>
    <w:p>
      <w:pPr>
        <w:spacing w:after="120"/>
      </w:pPr>
      <w:r>
        <w:rPr>
          <w:i w:val="0"/>
          <w:color w:val="101010"/>
          <w:sz w:val="21"/>
        </w:rPr>
        <w:t>The April inflation pair released Tuesday and Wednesday last week did more to reset Fed expectations than any single data set since the pandemic. CPI's 0.6% monthly print was the hottest since January 2024; PPI's 1.4% monthly gain was the biggest one-month surge since early 2022. With the policy rate held at 3.50–3.75% on April 29 over four dissents (Hammack, Kashkari, Logan, plus one unannounced), markets are now assigning 36% probability to a 25-basis-point hike by December and 100% probability to a hike by March 2027. Goldman's Hatzius wrote over the weekend that 'the Committee's tolerance for above-target inflation has clearly narrowed,' and JPM's Feroli now expects a hike at the September meeting if Hormuz isn't reopened by July. Thursday's FOMC minutes from the April hold are the marquee read this week.</w:t>
      </w:r>
    </w:p>
    <w:p>
      <w:pPr>
        <w:spacing w:before="200" w:after="40"/>
      </w:pPr>
      <w:r>
        <w:rPr>
          <w:b/>
          <w:color w:val="0A1F44"/>
          <w:sz w:val="22"/>
        </w:rPr>
        <w:t>Crypto Cracks: Bitcoin Tests $76K as Risk-Off Spreads</w:t>
      </w:r>
    </w:p>
    <w:p>
      <w:pPr>
        <w:spacing w:after="120"/>
      </w:pPr>
      <w:r>
        <w:rPr>
          <w:i w:val="0"/>
          <w:color w:val="101010"/>
          <w:sz w:val="21"/>
        </w:rPr>
        <w:t>Bitcoin slipped through $77,000 over the weekend and is changing hands near $76,900 this morning — down roughly 18% from its February high near $94K. The Crypto Fear &amp; Greed Index sits at 28, deep in 'fear' territory. Gold has been an even bigger casualty of the dollar's rally, with spot at $1,750 versus its January peak near $2,150. The simultaneous breakdown in BTC and gold is striking; both had been bid as inflation hedges through 2025 but are now trading as straight risk assets against a dollar wrecking-ball powered by the U.S. front-end yield advantage. ETF flows have been negative on BTC for nine consecutive sessions per Farside data, with IBIT seeing $920 million of outflows over that span.</w:t>
      </w:r>
    </w:p>
    <w:p>
      <w:pPr>
        <w:spacing w:before="360" w:after="120"/>
        <w:pBdr>
          <w:bottom w:val="single" w:sz="12" w:color="C9A227"/>
        </w:pBdr>
      </w:pPr>
      <w:r>
        <w:rPr>
          <w:rFonts w:ascii="Calibri" w:hAnsi="Calibri"/>
          <w:b/>
          <w:color w:val="0A1F44"/>
          <w:sz w:val="26"/>
        </w:rPr>
        <w:t>4. MACRO &amp; FED WATCH</w:t>
      </w:r>
    </w:p>
    <w:p>
      <w:pPr>
        <w:spacing w:after="120"/>
      </w:pPr>
      <w:r>
        <w:rPr>
          <w:i w:val="0"/>
          <w:color w:val="101010"/>
          <w:sz w:val="21"/>
        </w:rPr>
        <w:t>Powell speaks at the Atlanta Fed's financial markets conference Wednesday morning at 9:00 a.m. ET — three hours before Nvidia. Markets will be parsing his opening remarks for any departure from the April 29 statement language, which characterized inflation as 'elevated, in part reflecting the recent increase in global energy prices.' The 'in part' is doing heavy lifting there; if Powell drops the qualifier, the front-end will sell off hard.</w:t>
      </w:r>
    </w:p>
    <w:p>
      <w:pPr>
        <w:spacing w:after="120"/>
      </w:pPr>
      <w:r>
        <w:rPr>
          <w:i w:val="0"/>
          <w:color w:val="101010"/>
          <w:sz w:val="21"/>
        </w:rPr>
        <w:t>Two regional bank heads dissented at April's meeting in favor of a hike (Hammack, Logan), and a third (Kashkari) wanted to keep the option of a hike on the table without acting. The April minutes Thursday afternoon will reveal whether Powell's two-paragraph statement masked a deeper split. Watch for any language change around 'longer-run inflation expectations remain anchored' — if that sentence weakens, the 30-year almost certainly takes out 5%.</w:t>
      </w:r>
    </w:p>
    <w:p>
      <w:pPr>
        <w:spacing w:after="120"/>
      </w:pPr>
      <w:r>
        <w:rPr>
          <w:i w:val="0"/>
          <w:color w:val="101010"/>
          <w:sz w:val="21"/>
        </w:rPr>
        <w:t>Treasury auctions this week: $16B 20-year reopening Wednesday at 1:00 p.m. and $19B 10-year TIPS Thursday at 1:00 p.m. The TIPS auction is the more interesting print given the inflation narrative; a strong stop-through would suggest real-money buyers are positioning for the energy shock to extend, while a weak result would imply growing acceptance that the Fed will lean hawkish to defend the 2% target.</w:t>
      </w:r>
    </w:p>
    <w:p>
      <w:pPr>
        <w:spacing w:before="360" w:after="120"/>
        <w:pBdr>
          <w:bottom w:val="single" w:sz="12" w:color="C9A227"/>
        </w:pBdr>
      </w:pPr>
      <w:r>
        <w:rPr>
          <w:rFonts w:ascii="Calibri" w:hAnsi="Calibri"/>
          <w:b/>
          <w:color w:val="0A1F44"/>
          <w:sz w:val="26"/>
        </w:rPr>
        <w:t>5. ECONOMIC CALENDAR — WEEK OF MAY 18</w:t>
      </w:r>
    </w:p>
    <w:tbl>
      <w:tblPr>
        <w:tblW w:type="auto" w:w="0"/>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Day</w:t>
            </w:r>
          </w:p>
        </w:tc>
        <w:tc>
          <w:tcPr>
            <w:tcW w:type="dxa" w:w="2493"/>
            <w:shd w:val="clear" w:color="auto" w:fill="0A1F44"/>
          </w:tcPr>
          <w:p>
            <w:r>
              <w:rPr>
                <w:b/>
                <w:color w:val="FFFFFF"/>
                <w:sz w:val="20"/>
              </w:rPr>
              <w:t>Time (ET)</w:t>
            </w:r>
          </w:p>
        </w:tc>
        <w:tc>
          <w:tcPr>
            <w:tcW w:type="dxa" w:w="2493"/>
            <w:shd w:val="clear" w:color="auto" w:fill="0A1F44"/>
          </w:tcPr>
          <w:p>
            <w:r>
              <w:rPr>
                <w:b/>
                <w:color w:val="FFFFFF"/>
                <w:sz w:val="20"/>
              </w:rPr>
              <w:t>Release</w:t>
            </w:r>
          </w:p>
        </w:tc>
        <w:tc>
          <w:tcPr>
            <w:tcW w:type="dxa" w:w="2493"/>
            <w:shd w:val="clear" w:color="auto" w:fill="0A1F44"/>
          </w:tcPr>
          <w:p>
            <w:r>
              <w:rPr>
                <w:b/>
                <w:color w:val="FFFFFF"/>
                <w:sz w:val="20"/>
              </w:rPr>
              <w:t>Consensus</w:t>
            </w:r>
          </w:p>
        </w:tc>
      </w:tr>
      <w:tr>
        <w:tc>
          <w:tcPr>
            <w:tcW w:type="dxa" w:w="2493"/>
            <w:tcBorders>
              <w:top w:val="single" w:sz="4" w:color="BFBFBF"/>
              <w:bottom w:val="single" w:sz="4" w:color="BFBFBF"/>
            </w:tcBorders>
          </w:tcPr>
          <w:p>
            <w:r>
              <w:rPr>
                <w:sz w:val="19"/>
              </w:rPr>
              <w:t>Mon 5/18</w:t>
            </w:r>
          </w:p>
        </w:tc>
        <w:tc>
          <w:tcPr>
            <w:tcW w:type="dxa" w:w="2493"/>
            <w:tcBorders>
              <w:top w:val="single" w:sz="4" w:color="BFBFBF"/>
              <w:bottom w:val="single" w:sz="4" w:color="BFBFBF"/>
            </w:tcBorders>
          </w:tcPr>
          <w:p>
            <w:r>
              <w:rPr>
                <w:sz w:val="19"/>
              </w:rPr>
              <w:t>10:00 AM</w:t>
            </w:r>
          </w:p>
        </w:tc>
        <w:tc>
          <w:tcPr>
            <w:tcW w:type="dxa" w:w="2493"/>
            <w:tcBorders>
              <w:top w:val="single" w:sz="4" w:color="BFBFBF"/>
              <w:bottom w:val="single" w:sz="4" w:color="BFBFBF"/>
            </w:tcBorders>
          </w:tcPr>
          <w:p>
            <w:r>
              <w:rPr>
                <w:sz w:val="19"/>
              </w:rPr>
              <w:t>NAHB Housing Market Index (May)</w:t>
            </w:r>
          </w:p>
        </w:tc>
        <w:tc>
          <w:tcPr>
            <w:tcW w:type="dxa" w:w="2493"/>
            <w:tcBorders>
              <w:top w:val="single" w:sz="4" w:color="BFBFBF"/>
              <w:bottom w:val="single" w:sz="4" w:color="BFBFBF"/>
            </w:tcBorders>
          </w:tcPr>
          <w:p>
            <w:r>
              <w:rPr>
                <w:sz w:val="19"/>
              </w:rPr>
              <w:t>34 (prior 34)</w:t>
            </w:r>
          </w:p>
        </w:tc>
      </w:tr>
      <w:tr>
        <w:tc>
          <w:tcPr>
            <w:tcW w:type="dxa" w:w="2493"/>
            <w:shd w:val="clear" w:color="auto" w:fill="F4F1E8"/>
            <w:tcBorders>
              <w:top w:val="single" w:sz="4" w:color="BFBFBF"/>
              <w:bottom w:val="single" w:sz="4" w:color="BFBFBF"/>
            </w:tcBorders>
          </w:tcPr>
          <w:p>
            <w:r>
              <w:rPr>
                <w:sz w:val="19"/>
              </w:rPr>
              <w:t>Tue 5/19</w:t>
            </w:r>
          </w:p>
        </w:tc>
        <w:tc>
          <w:tcPr>
            <w:tcW w:type="dxa" w:w="2493"/>
            <w:shd w:val="clear" w:color="auto" w:fill="F4F1E8"/>
            <w:tcBorders>
              <w:top w:val="single" w:sz="4" w:color="BFBFBF"/>
              <w:bottom w:val="single" w:sz="4" w:color="BFBFBF"/>
            </w:tcBorders>
          </w:tcPr>
          <w:p>
            <w:r>
              <w:rPr>
                <w:sz w:val="19"/>
              </w:rPr>
              <w:t>8:30 AM</w:t>
            </w:r>
          </w:p>
        </w:tc>
        <w:tc>
          <w:tcPr>
            <w:tcW w:type="dxa" w:w="2493"/>
            <w:shd w:val="clear" w:color="auto" w:fill="F4F1E8"/>
            <w:tcBorders>
              <w:top w:val="single" w:sz="4" w:color="BFBFBF"/>
              <w:bottom w:val="single" w:sz="4" w:color="BFBFBF"/>
            </w:tcBorders>
          </w:tcPr>
          <w:p>
            <w:r>
              <w:rPr>
                <w:sz w:val="19"/>
              </w:rPr>
              <w:t>Building Permits / Housing Starts (Apr)</w:t>
            </w:r>
          </w:p>
        </w:tc>
        <w:tc>
          <w:tcPr>
            <w:tcW w:type="dxa" w:w="2493"/>
            <w:shd w:val="clear" w:color="auto" w:fill="F4F1E8"/>
            <w:tcBorders>
              <w:top w:val="single" w:sz="4" w:color="BFBFBF"/>
              <w:bottom w:val="single" w:sz="4" w:color="BFBFBF"/>
            </w:tcBorders>
          </w:tcPr>
          <w:p>
            <w:r>
              <w:rPr>
                <w:sz w:val="19"/>
              </w:rPr>
              <w:t>1.44M / 1.36M</w:t>
            </w:r>
          </w:p>
        </w:tc>
      </w:tr>
      <w:tr>
        <w:tc>
          <w:tcPr>
            <w:tcW w:type="dxa" w:w="2493"/>
            <w:tcBorders>
              <w:top w:val="single" w:sz="4" w:color="BFBFBF"/>
              <w:bottom w:val="single" w:sz="4" w:color="BFBFBF"/>
            </w:tcBorders>
          </w:tcPr>
          <w:p>
            <w:r>
              <w:rPr>
                <w:sz w:val="19"/>
              </w:rPr>
              <w:t>Tue 5/19</w:t>
            </w:r>
          </w:p>
        </w:tc>
        <w:tc>
          <w:tcPr>
            <w:tcW w:type="dxa" w:w="2493"/>
            <w:tcBorders>
              <w:top w:val="single" w:sz="4" w:color="BFBFBF"/>
              <w:bottom w:val="single" w:sz="4" w:color="BFBFBF"/>
            </w:tcBorders>
          </w:tcPr>
          <w:p>
            <w:r>
              <w:rPr>
                <w:sz w:val="19"/>
              </w:rPr>
              <w:t>Before open</w:t>
            </w:r>
          </w:p>
        </w:tc>
        <w:tc>
          <w:tcPr>
            <w:tcW w:type="dxa" w:w="2493"/>
            <w:tcBorders>
              <w:top w:val="single" w:sz="4" w:color="BFBFBF"/>
              <w:bottom w:val="single" w:sz="4" w:color="BFBFBF"/>
            </w:tcBorders>
          </w:tcPr>
          <w:p>
            <w:r>
              <w:rPr>
                <w:sz w:val="19"/>
              </w:rPr>
              <w:t>Home Depot (HD) Q1 earnings</w:t>
            </w:r>
          </w:p>
        </w:tc>
        <w:tc>
          <w:tcPr>
            <w:tcW w:type="dxa" w:w="2493"/>
            <w:tcBorders>
              <w:top w:val="single" w:sz="4" w:color="BFBFBF"/>
              <w:bottom w:val="single" w:sz="4" w:color="BFBFBF"/>
            </w:tcBorders>
          </w:tcPr>
          <w:p>
            <w:r>
              <w:rPr>
                <w:sz w:val="19"/>
              </w:rPr>
              <w:t>EPS $3.62 / Rev $39.3B</w:t>
            </w:r>
          </w:p>
        </w:tc>
      </w:tr>
      <w:tr>
        <w:tc>
          <w:tcPr>
            <w:tcW w:type="dxa" w:w="2493"/>
            <w:shd w:val="clear" w:color="auto" w:fill="F4F1E8"/>
            <w:tcBorders>
              <w:top w:val="single" w:sz="4" w:color="BFBFBF"/>
              <w:bottom w:val="single" w:sz="4" w:color="BFBFBF"/>
            </w:tcBorders>
          </w:tcPr>
          <w:p>
            <w:r>
              <w:rPr>
                <w:sz w:val="19"/>
              </w:rPr>
              <w:t>Wed 5/20</w:t>
            </w:r>
          </w:p>
        </w:tc>
        <w:tc>
          <w:tcPr>
            <w:tcW w:type="dxa" w:w="2493"/>
            <w:shd w:val="clear" w:color="auto" w:fill="F4F1E8"/>
            <w:tcBorders>
              <w:top w:val="single" w:sz="4" w:color="BFBFBF"/>
              <w:bottom w:val="single" w:sz="4" w:color="BFBFBF"/>
            </w:tcBorders>
          </w:tcPr>
          <w:p>
            <w:r>
              <w:rPr>
                <w:sz w:val="19"/>
              </w:rPr>
              <w:t>9:00 AM</w:t>
            </w:r>
          </w:p>
        </w:tc>
        <w:tc>
          <w:tcPr>
            <w:tcW w:type="dxa" w:w="2493"/>
            <w:shd w:val="clear" w:color="auto" w:fill="F4F1E8"/>
            <w:tcBorders>
              <w:top w:val="single" w:sz="4" w:color="BFBFBF"/>
              <w:bottom w:val="single" w:sz="4" w:color="BFBFBF"/>
            </w:tcBorders>
          </w:tcPr>
          <w:p>
            <w:r>
              <w:rPr>
                <w:sz w:val="19"/>
              </w:rPr>
              <w:t>Powell remarks — Atlanta Fed</w:t>
            </w:r>
          </w:p>
        </w:tc>
        <w:tc>
          <w:tcPr>
            <w:tcW w:type="dxa" w:w="2493"/>
            <w:shd w:val="clear" w:color="auto" w:fill="F4F1E8"/>
            <w:tcBorders>
              <w:top w:val="single" w:sz="4" w:color="BFBFBF"/>
              <w:bottom w:val="single" w:sz="4" w:color="BFBFBF"/>
            </w:tcBorders>
          </w:tcPr>
          <w:p>
            <w:r>
              <w:rPr>
                <w:sz w:val="19"/>
              </w:rPr>
              <w:t>—</w:t>
            </w:r>
          </w:p>
        </w:tc>
      </w:tr>
      <w:tr>
        <w:tc>
          <w:tcPr>
            <w:tcW w:type="dxa" w:w="2493"/>
            <w:tcBorders>
              <w:top w:val="single" w:sz="4" w:color="BFBFBF"/>
              <w:bottom w:val="single" w:sz="4" w:color="BFBFBF"/>
            </w:tcBorders>
          </w:tcPr>
          <w:p>
            <w:r>
              <w:rPr>
                <w:sz w:val="19"/>
              </w:rPr>
              <w:t>Wed 5/20</w:t>
            </w:r>
          </w:p>
        </w:tc>
        <w:tc>
          <w:tcPr>
            <w:tcW w:type="dxa" w:w="2493"/>
            <w:tcBorders>
              <w:top w:val="single" w:sz="4" w:color="BFBFBF"/>
              <w:bottom w:val="single" w:sz="4" w:color="BFBFBF"/>
            </w:tcBorders>
          </w:tcPr>
          <w:p>
            <w:r>
              <w:rPr>
                <w:sz w:val="19"/>
              </w:rPr>
              <w:t>1:00 PM</w:t>
            </w:r>
          </w:p>
        </w:tc>
        <w:tc>
          <w:tcPr>
            <w:tcW w:type="dxa" w:w="2493"/>
            <w:tcBorders>
              <w:top w:val="single" w:sz="4" w:color="BFBFBF"/>
              <w:bottom w:val="single" w:sz="4" w:color="BFBFBF"/>
            </w:tcBorders>
          </w:tcPr>
          <w:p>
            <w:r>
              <w:rPr>
                <w:sz w:val="19"/>
              </w:rPr>
              <w:t>20-Yr Treasury auction ($16B)</w:t>
            </w:r>
          </w:p>
        </w:tc>
        <w:tc>
          <w:tcPr>
            <w:tcW w:type="dxa" w:w="2493"/>
            <w:tcBorders>
              <w:top w:val="single" w:sz="4" w:color="BFBFBF"/>
              <w:bottom w:val="single" w:sz="4" w:color="BFBFBF"/>
            </w:tcBorders>
          </w:tcPr>
          <w:p>
            <w:r>
              <w:rPr>
                <w:sz w:val="19"/>
              </w:rPr>
              <w:t>—</w:t>
            </w:r>
          </w:p>
        </w:tc>
      </w:tr>
      <w:tr>
        <w:tc>
          <w:tcPr>
            <w:tcW w:type="dxa" w:w="2493"/>
            <w:shd w:val="clear" w:color="auto" w:fill="F4F1E8"/>
            <w:tcBorders>
              <w:top w:val="single" w:sz="4" w:color="BFBFBF"/>
              <w:bottom w:val="single" w:sz="4" w:color="BFBFBF"/>
            </w:tcBorders>
          </w:tcPr>
          <w:p>
            <w:r>
              <w:rPr>
                <w:sz w:val="19"/>
              </w:rPr>
              <w:t>Wed 5/20</w:t>
            </w:r>
          </w:p>
        </w:tc>
        <w:tc>
          <w:tcPr>
            <w:tcW w:type="dxa" w:w="2493"/>
            <w:shd w:val="clear" w:color="auto" w:fill="F4F1E8"/>
            <w:tcBorders>
              <w:top w:val="single" w:sz="4" w:color="BFBFBF"/>
              <w:bottom w:val="single" w:sz="4" w:color="BFBFBF"/>
            </w:tcBorders>
          </w:tcPr>
          <w:p>
            <w:r>
              <w:rPr>
                <w:sz w:val="19"/>
              </w:rPr>
              <w:t>After close</w:t>
            </w:r>
          </w:p>
        </w:tc>
        <w:tc>
          <w:tcPr>
            <w:tcW w:type="dxa" w:w="2493"/>
            <w:shd w:val="clear" w:color="auto" w:fill="F4F1E8"/>
            <w:tcBorders>
              <w:top w:val="single" w:sz="4" w:color="BFBFBF"/>
              <w:bottom w:val="single" w:sz="4" w:color="BFBFBF"/>
            </w:tcBorders>
          </w:tcPr>
          <w:p>
            <w:r>
              <w:rPr>
                <w:sz w:val="19"/>
              </w:rPr>
              <w:t>Nvidia (NVDA) Q1 FY27 earnings</w:t>
            </w:r>
          </w:p>
        </w:tc>
        <w:tc>
          <w:tcPr>
            <w:tcW w:type="dxa" w:w="2493"/>
            <w:shd w:val="clear" w:color="auto" w:fill="F4F1E8"/>
            <w:tcBorders>
              <w:top w:val="single" w:sz="4" w:color="BFBFBF"/>
              <w:bottom w:val="single" w:sz="4" w:color="BFBFBF"/>
            </w:tcBorders>
          </w:tcPr>
          <w:p>
            <w:r>
              <w:rPr>
                <w:sz w:val="19"/>
              </w:rPr>
              <w:t>EPS $1.77 / Rev $78.0B</w:t>
            </w:r>
          </w:p>
        </w:tc>
      </w:tr>
      <w:tr>
        <w:tc>
          <w:tcPr>
            <w:tcW w:type="dxa" w:w="2493"/>
            <w:tcBorders>
              <w:top w:val="single" w:sz="4" w:color="BFBFBF"/>
              <w:bottom w:val="single" w:sz="4" w:color="BFBFBF"/>
            </w:tcBorders>
          </w:tcPr>
          <w:p>
            <w:r>
              <w:rPr>
                <w:sz w:val="19"/>
              </w:rPr>
              <w:t>Wed 5/20</w:t>
            </w:r>
          </w:p>
        </w:tc>
        <w:tc>
          <w:tcPr>
            <w:tcW w:type="dxa" w:w="2493"/>
            <w:tcBorders>
              <w:top w:val="single" w:sz="4" w:color="BFBFBF"/>
              <w:bottom w:val="single" w:sz="4" w:color="BFBFBF"/>
            </w:tcBorders>
          </w:tcPr>
          <w:p>
            <w:r>
              <w:rPr>
                <w:sz w:val="19"/>
              </w:rPr>
              <w:t>After close</w:t>
            </w:r>
          </w:p>
        </w:tc>
        <w:tc>
          <w:tcPr>
            <w:tcW w:type="dxa" w:w="2493"/>
            <w:tcBorders>
              <w:top w:val="single" w:sz="4" w:color="BFBFBF"/>
              <w:bottom w:val="single" w:sz="4" w:color="BFBFBF"/>
            </w:tcBorders>
          </w:tcPr>
          <w:p>
            <w:r>
              <w:rPr>
                <w:sz w:val="19"/>
              </w:rPr>
              <w:t>Palo Alto Networks (PANW), Target (TGT)</w:t>
            </w:r>
          </w:p>
        </w:tc>
        <w:tc>
          <w:tcPr>
            <w:tcW w:type="dxa" w:w="2493"/>
            <w:tcBorders>
              <w:top w:val="single" w:sz="4" w:color="BFBFBF"/>
              <w:bottom w:val="single" w:sz="4" w:color="BFBFBF"/>
            </w:tcBorders>
          </w:tcPr>
          <w:p>
            <w:r>
              <w:rPr>
                <w:sz w:val="19"/>
              </w:rPr>
              <w:t>—</w:t>
            </w:r>
          </w:p>
        </w:tc>
      </w:tr>
      <w:tr>
        <w:tc>
          <w:tcPr>
            <w:tcW w:type="dxa" w:w="2493"/>
            <w:shd w:val="clear" w:color="auto" w:fill="F4F1E8"/>
            <w:tcBorders>
              <w:top w:val="single" w:sz="4" w:color="BFBFBF"/>
              <w:bottom w:val="single" w:sz="4" w:color="BFBFBF"/>
            </w:tcBorders>
          </w:tcPr>
          <w:p>
            <w:r>
              <w:rPr>
                <w:sz w:val="19"/>
              </w:rPr>
              <w:t>Thu 5/21</w:t>
            </w:r>
          </w:p>
        </w:tc>
        <w:tc>
          <w:tcPr>
            <w:tcW w:type="dxa" w:w="2493"/>
            <w:shd w:val="clear" w:color="auto" w:fill="F4F1E8"/>
            <w:tcBorders>
              <w:top w:val="single" w:sz="4" w:color="BFBFBF"/>
              <w:bottom w:val="single" w:sz="4" w:color="BFBFBF"/>
            </w:tcBorders>
          </w:tcPr>
          <w:p>
            <w:r>
              <w:rPr>
                <w:sz w:val="19"/>
              </w:rPr>
              <w:t>8:30 AM</w:t>
            </w:r>
          </w:p>
        </w:tc>
        <w:tc>
          <w:tcPr>
            <w:tcW w:type="dxa" w:w="2493"/>
            <w:shd w:val="clear" w:color="auto" w:fill="F4F1E8"/>
            <w:tcBorders>
              <w:top w:val="single" w:sz="4" w:color="BFBFBF"/>
              <w:bottom w:val="single" w:sz="4" w:color="BFBFBF"/>
            </w:tcBorders>
          </w:tcPr>
          <w:p>
            <w:r>
              <w:rPr>
                <w:sz w:val="19"/>
              </w:rPr>
              <w:t>Initial Jobless Claims</w:t>
            </w:r>
          </w:p>
        </w:tc>
        <w:tc>
          <w:tcPr>
            <w:tcW w:type="dxa" w:w="2493"/>
            <w:shd w:val="clear" w:color="auto" w:fill="F4F1E8"/>
            <w:tcBorders>
              <w:top w:val="single" w:sz="4" w:color="BFBFBF"/>
              <w:bottom w:val="single" w:sz="4" w:color="BFBFBF"/>
            </w:tcBorders>
          </w:tcPr>
          <w:p>
            <w:r>
              <w:rPr>
                <w:sz w:val="19"/>
              </w:rPr>
              <w:t>228K</w:t>
            </w:r>
          </w:p>
        </w:tc>
      </w:tr>
      <w:tr>
        <w:tc>
          <w:tcPr>
            <w:tcW w:type="dxa" w:w="2493"/>
            <w:tcBorders>
              <w:top w:val="single" w:sz="4" w:color="BFBFBF"/>
              <w:bottom w:val="single" w:sz="4" w:color="BFBFBF"/>
            </w:tcBorders>
          </w:tcPr>
          <w:p>
            <w:r>
              <w:rPr>
                <w:sz w:val="19"/>
              </w:rPr>
              <w:t>Thu 5/21</w:t>
            </w:r>
          </w:p>
        </w:tc>
        <w:tc>
          <w:tcPr>
            <w:tcW w:type="dxa" w:w="2493"/>
            <w:tcBorders>
              <w:top w:val="single" w:sz="4" w:color="BFBFBF"/>
              <w:bottom w:val="single" w:sz="4" w:color="BFBFBF"/>
            </w:tcBorders>
          </w:tcPr>
          <w:p>
            <w:r>
              <w:rPr>
                <w:sz w:val="19"/>
              </w:rPr>
              <w:t>8:30 AM</w:t>
            </w:r>
          </w:p>
        </w:tc>
        <w:tc>
          <w:tcPr>
            <w:tcW w:type="dxa" w:w="2493"/>
            <w:tcBorders>
              <w:top w:val="single" w:sz="4" w:color="BFBFBF"/>
              <w:bottom w:val="single" w:sz="4" w:color="BFBFBF"/>
            </w:tcBorders>
          </w:tcPr>
          <w:p>
            <w:r>
              <w:rPr>
                <w:sz w:val="19"/>
              </w:rPr>
              <w:t>Philly Fed Mfg. Index (May)</w:t>
            </w:r>
          </w:p>
        </w:tc>
        <w:tc>
          <w:tcPr>
            <w:tcW w:type="dxa" w:w="2493"/>
            <w:tcBorders>
              <w:top w:val="single" w:sz="4" w:color="BFBFBF"/>
              <w:bottom w:val="single" w:sz="4" w:color="BFBFBF"/>
            </w:tcBorders>
          </w:tcPr>
          <w:p>
            <w:r>
              <w:rPr>
                <w:sz w:val="19"/>
              </w:rPr>
              <w:t>-2.0</w:t>
            </w:r>
          </w:p>
        </w:tc>
      </w:tr>
      <w:tr>
        <w:tc>
          <w:tcPr>
            <w:tcW w:type="dxa" w:w="2493"/>
            <w:shd w:val="clear" w:color="auto" w:fill="F4F1E8"/>
            <w:tcBorders>
              <w:top w:val="single" w:sz="4" w:color="BFBFBF"/>
              <w:bottom w:val="single" w:sz="4" w:color="BFBFBF"/>
            </w:tcBorders>
          </w:tcPr>
          <w:p>
            <w:r>
              <w:rPr>
                <w:sz w:val="19"/>
              </w:rPr>
              <w:t>Thu 5/21</w:t>
            </w:r>
          </w:p>
        </w:tc>
        <w:tc>
          <w:tcPr>
            <w:tcW w:type="dxa" w:w="2493"/>
            <w:shd w:val="clear" w:color="auto" w:fill="F4F1E8"/>
            <w:tcBorders>
              <w:top w:val="single" w:sz="4" w:color="BFBFBF"/>
              <w:bottom w:val="single" w:sz="4" w:color="BFBFBF"/>
            </w:tcBorders>
          </w:tcPr>
          <w:p>
            <w:r>
              <w:rPr>
                <w:sz w:val="19"/>
              </w:rPr>
              <w:t>10:00 AM</w:t>
            </w:r>
          </w:p>
        </w:tc>
        <w:tc>
          <w:tcPr>
            <w:tcW w:type="dxa" w:w="2493"/>
            <w:shd w:val="clear" w:color="auto" w:fill="F4F1E8"/>
            <w:tcBorders>
              <w:top w:val="single" w:sz="4" w:color="BFBFBF"/>
              <w:bottom w:val="single" w:sz="4" w:color="BFBFBF"/>
            </w:tcBorders>
          </w:tcPr>
          <w:p>
            <w:r>
              <w:rPr>
                <w:sz w:val="19"/>
              </w:rPr>
              <w:t>Existing Home Sales (Apr)</w:t>
            </w:r>
          </w:p>
        </w:tc>
        <w:tc>
          <w:tcPr>
            <w:tcW w:type="dxa" w:w="2493"/>
            <w:shd w:val="clear" w:color="auto" w:fill="F4F1E8"/>
            <w:tcBorders>
              <w:top w:val="single" w:sz="4" w:color="BFBFBF"/>
              <w:bottom w:val="single" w:sz="4" w:color="BFBFBF"/>
            </w:tcBorders>
          </w:tcPr>
          <w:p>
            <w:r>
              <w:rPr>
                <w:sz w:val="19"/>
              </w:rPr>
              <w:t>4.10M</w:t>
            </w:r>
          </w:p>
        </w:tc>
      </w:tr>
      <w:tr>
        <w:tc>
          <w:tcPr>
            <w:tcW w:type="dxa" w:w="2493"/>
            <w:tcBorders>
              <w:top w:val="single" w:sz="4" w:color="BFBFBF"/>
              <w:bottom w:val="single" w:sz="4" w:color="BFBFBF"/>
            </w:tcBorders>
          </w:tcPr>
          <w:p>
            <w:r>
              <w:rPr>
                <w:sz w:val="19"/>
              </w:rPr>
              <w:t>Thu 5/21</w:t>
            </w:r>
          </w:p>
        </w:tc>
        <w:tc>
          <w:tcPr>
            <w:tcW w:type="dxa" w:w="2493"/>
            <w:tcBorders>
              <w:top w:val="single" w:sz="4" w:color="BFBFBF"/>
              <w:bottom w:val="single" w:sz="4" w:color="BFBFBF"/>
            </w:tcBorders>
          </w:tcPr>
          <w:p>
            <w:r>
              <w:rPr>
                <w:sz w:val="19"/>
              </w:rPr>
              <w:t>Before open</w:t>
            </w:r>
          </w:p>
        </w:tc>
        <w:tc>
          <w:tcPr>
            <w:tcW w:type="dxa" w:w="2493"/>
            <w:tcBorders>
              <w:top w:val="single" w:sz="4" w:color="BFBFBF"/>
              <w:bottom w:val="single" w:sz="4" w:color="BFBFBF"/>
            </w:tcBorders>
          </w:tcPr>
          <w:p>
            <w:r>
              <w:rPr>
                <w:sz w:val="19"/>
              </w:rPr>
              <w:t>Walmart (WMT) Q1 earnings</w:t>
            </w:r>
          </w:p>
        </w:tc>
        <w:tc>
          <w:tcPr>
            <w:tcW w:type="dxa" w:w="2493"/>
            <w:tcBorders>
              <w:top w:val="single" w:sz="4" w:color="BFBFBF"/>
              <w:bottom w:val="single" w:sz="4" w:color="BFBFBF"/>
            </w:tcBorders>
          </w:tcPr>
          <w:p>
            <w:r>
              <w:rPr>
                <w:sz w:val="19"/>
              </w:rPr>
              <w:t>EPS $0.66 / Rev $171B</w:t>
            </w:r>
          </w:p>
        </w:tc>
      </w:tr>
      <w:tr>
        <w:tc>
          <w:tcPr>
            <w:tcW w:type="dxa" w:w="2493"/>
            <w:shd w:val="clear" w:color="auto" w:fill="F4F1E8"/>
            <w:tcBorders>
              <w:top w:val="single" w:sz="4" w:color="BFBFBF"/>
              <w:bottom w:val="single" w:sz="4" w:color="BFBFBF"/>
            </w:tcBorders>
          </w:tcPr>
          <w:p>
            <w:r>
              <w:rPr>
                <w:sz w:val="19"/>
              </w:rPr>
              <w:t>Thu 5/21</w:t>
            </w:r>
          </w:p>
        </w:tc>
        <w:tc>
          <w:tcPr>
            <w:tcW w:type="dxa" w:w="2493"/>
            <w:shd w:val="clear" w:color="auto" w:fill="F4F1E8"/>
            <w:tcBorders>
              <w:top w:val="single" w:sz="4" w:color="BFBFBF"/>
              <w:bottom w:val="single" w:sz="4" w:color="BFBFBF"/>
            </w:tcBorders>
          </w:tcPr>
          <w:p>
            <w:r>
              <w:rPr>
                <w:sz w:val="19"/>
              </w:rPr>
              <w:t>2:00 PM</w:t>
            </w:r>
          </w:p>
        </w:tc>
        <w:tc>
          <w:tcPr>
            <w:tcW w:type="dxa" w:w="2493"/>
            <w:shd w:val="clear" w:color="auto" w:fill="F4F1E8"/>
            <w:tcBorders>
              <w:top w:val="single" w:sz="4" w:color="BFBFBF"/>
              <w:bottom w:val="single" w:sz="4" w:color="BFBFBF"/>
            </w:tcBorders>
          </w:tcPr>
          <w:p>
            <w:r>
              <w:rPr>
                <w:sz w:val="19"/>
              </w:rPr>
              <w:t>FOMC Minutes (Apr 28–29)</w:t>
            </w:r>
          </w:p>
        </w:tc>
        <w:tc>
          <w:tcPr>
            <w:tcW w:type="dxa" w:w="2493"/>
            <w:shd w:val="clear" w:color="auto" w:fill="F4F1E8"/>
            <w:tcBorders>
              <w:top w:val="single" w:sz="4" w:color="BFBFBF"/>
              <w:bottom w:val="single" w:sz="4" w:color="BFBFBF"/>
            </w:tcBorders>
          </w:tcPr>
          <w:p>
            <w:r>
              <w:rPr>
                <w:sz w:val="19"/>
              </w:rPr>
              <w:t>—</w:t>
            </w:r>
          </w:p>
        </w:tc>
      </w:tr>
      <w:tr>
        <w:tc>
          <w:tcPr>
            <w:tcW w:type="dxa" w:w="2493"/>
            <w:tcBorders>
              <w:top w:val="single" w:sz="4" w:color="BFBFBF"/>
              <w:bottom w:val="single" w:sz="4" w:color="BFBFBF"/>
            </w:tcBorders>
          </w:tcPr>
          <w:p>
            <w:r>
              <w:rPr>
                <w:sz w:val="19"/>
              </w:rPr>
              <w:t>Fri 5/22</w:t>
            </w:r>
          </w:p>
        </w:tc>
        <w:tc>
          <w:tcPr>
            <w:tcW w:type="dxa" w:w="2493"/>
            <w:tcBorders>
              <w:top w:val="single" w:sz="4" w:color="BFBFBF"/>
              <w:bottom w:val="single" w:sz="4" w:color="BFBFBF"/>
            </w:tcBorders>
          </w:tcPr>
          <w:p>
            <w:r>
              <w:rPr>
                <w:sz w:val="19"/>
              </w:rPr>
              <w:t>9:45 AM</w:t>
            </w:r>
          </w:p>
        </w:tc>
        <w:tc>
          <w:tcPr>
            <w:tcW w:type="dxa" w:w="2493"/>
            <w:tcBorders>
              <w:top w:val="single" w:sz="4" w:color="BFBFBF"/>
              <w:bottom w:val="single" w:sz="4" w:color="BFBFBF"/>
            </w:tcBorders>
          </w:tcPr>
          <w:p>
            <w:r>
              <w:rPr>
                <w:sz w:val="19"/>
              </w:rPr>
              <w:t>S&amp;P Global Flash PMIs (May)</w:t>
            </w:r>
          </w:p>
        </w:tc>
        <w:tc>
          <w:tcPr>
            <w:tcW w:type="dxa" w:w="2493"/>
            <w:tcBorders>
              <w:top w:val="single" w:sz="4" w:color="BFBFBF"/>
              <w:bottom w:val="single" w:sz="4" w:color="BFBFBF"/>
            </w:tcBorders>
          </w:tcPr>
          <w:p>
            <w:r>
              <w:rPr>
                <w:sz w:val="19"/>
              </w:rPr>
              <w:t>Mfg 49.2 / Svc 51.3</w:t>
            </w:r>
          </w:p>
        </w:tc>
      </w:tr>
    </w:tbl>
    <w:p>
      <w:pPr>
        <w:spacing w:before="360" w:after="120"/>
        <w:pBdr>
          <w:bottom w:val="single" w:sz="12" w:color="C9A227"/>
        </w:pBdr>
      </w:pPr>
      <w:r>
        <w:rPr>
          <w:rFonts w:ascii="Calibri" w:hAnsi="Calibri"/>
          <w:b/>
          <w:color w:val="0A1F44"/>
          <w:sz w:val="26"/>
        </w:rPr>
        <w:t>6. EARNINGS WATCH</w:t>
      </w:r>
    </w:p>
    <w:p>
      <w:pPr>
        <w:spacing w:after="120"/>
      </w:pPr>
      <w:r>
        <w:rPr>
          <w:i w:val="0"/>
          <w:color w:val="101010"/>
          <w:sz w:val="21"/>
        </w:rPr>
        <w:t>It is, simply, Nvidia week. But under that elephant sits a quieter consumer story: the U.S. consumer's first real read since the spring inflation re-acceleration. Home Depot (Tuesday) is the canary on big-ticket, rate-sensitive discretionary; the comp consensus has crept down to 0.0% over the past month, and management's tone on housing turnover will matter more than the print itself. Walmart (Thursday) is the inverse trade — same-store sales ex-fuel expected at +3.86% — and any commentary about trade-down behavior in middle-income cohorts will move the entire staples complex. Target (Wednesday) carries the most beta into earnings; the stock is down 22% YTD and short interest is at a multi-year high.</w:t>
      </w:r>
    </w:p>
    <w:p>
      <w:pPr>
        <w:spacing w:after="120"/>
      </w:pPr>
      <w:r>
        <w:rPr>
          <w:i w:val="0"/>
          <w:color w:val="101010"/>
          <w:sz w:val="21"/>
        </w:rPr>
        <w:t>Beyond retail, Palo Alto Networks Wednesday after close will set the tone for cyber spending into H2; consensus is $0.98 / $2.40B. Baidu Wednesday and Ryanair Monday round out the global calendar. Roughly 92% of the S&amp;P 500 has now reported Q1; blended growth sits at +11.2% with 76% beating EPS estimates — strong but increasingly priced in.</w:t>
      </w:r>
    </w:p>
    <w:p>
      <w:pPr>
        <w:spacing w:before="360" w:after="120"/>
        <w:pBdr>
          <w:bottom w:val="single" w:sz="12" w:color="C9A227"/>
        </w:pBdr>
      </w:pPr>
      <w:r>
        <w:rPr>
          <w:rFonts w:ascii="Calibri" w:hAnsi="Calibri"/>
          <w:b/>
          <w:color w:val="0A1F44"/>
          <w:sz w:val="26"/>
        </w:rPr>
        <w:t>7. SECTOR SPOTLIGHT: ENERGY EQUITIES</w:t>
      </w:r>
    </w:p>
    <w:p>
      <w:pPr>
        <w:spacing w:after="120"/>
      </w:pPr>
      <w:r>
        <w:rPr>
          <w:i w:val="0"/>
          <w:color w:val="101010"/>
          <w:sz w:val="21"/>
        </w:rPr>
        <w:t>Energy is the only S&amp;P 500 sector positive year-to-date, up 18.4%, versus the index at +2.1% and the Nasdaq 100 at -0.4%. The XLE is up 21% since the Hormuz crisis began in early April. Within the sector, the leadership has narrowed: integrated majors (XOM +14% YTD, CVX +11%) have lagged the pure-play E&amp;Ps (FANG +28%, PXD +24%, EOG +22%), while refiners have lagged the entire group as crack spreads compressed.</w:t>
      </w:r>
    </w:p>
    <w:p>
      <w:pPr>
        <w:spacing w:after="120"/>
      </w:pPr>
      <w:r>
        <w:rPr>
          <w:i w:val="0"/>
          <w:color w:val="101010"/>
          <w:sz w:val="21"/>
        </w:rPr>
        <w:t>The setup for this week: if Hormuz reopens, expect a 5–8% one-day pullback across the sector, led by E&amp;Ps that have priced in the most term premium. If Hormuz stays closed and Brent breaks $115, the next leg is likely led by tankers (FRO, STNG, INSW) and LNG operators (CHK, LNG, TELL) rather than the producers, since term-structure backwardation now flatters near-month shipping economics dramatically. Goldman moved its 12-month Brent target to $115 from $98 on Friday afternoon.</w:t>
      </w:r>
    </w:p>
    <w:p>
      <w:pPr>
        <w:spacing w:before="360" w:after="120"/>
        <w:pBdr>
          <w:bottom w:val="single" w:sz="12" w:color="C9A227"/>
        </w:pBdr>
      </w:pPr>
      <w:r>
        <w:rPr>
          <w:rFonts w:ascii="Calibri" w:hAnsi="Calibri"/>
          <w:b/>
          <w:color w:val="0A1F44"/>
          <w:sz w:val="26"/>
        </w:rPr>
        <w:t>8. ANALYST CALLS DRIVING ACTION</w:t>
      </w:r>
    </w:p>
    <w:p>
      <w:pPr>
        <w:spacing w:after="120"/>
      </w:pPr>
      <w:r>
        <w:rPr>
          <w:i w:val="0"/>
          <w:color w:val="101010"/>
          <w:sz w:val="21"/>
        </w:rPr>
        <w:t>Notable upgrades / target hikes: Goldman Sachs reiterated Buy on Nvidia (NVDA) with a $250 PT, citing 'meaningful undervaluation' into earnings. BofA raised Nova Measuring Instruments (NVMI) PT to $612 from $510, keeping Buy. Truist lifted First Industrial Realty Trust (FR) to $67 from $66. Morgan Stanley upgraded ExxonMobil (XOM) to Overweight from Equal-Weight with a $145 PT, citing Permian capital discipline. Wells Fargo raised Palantir (PLTR) to Equal-Weight on AIP commercial traction.</w:t>
      </w:r>
    </w:p>
    <w:p>
      <w:pPr>
        <w:spacing w:after="120"/>
      </w:pPr>
      <w:r>
        <w:rPr>
          <w:i w:val="0"/>
          <w:color w:val="101010"/>
          <w:sz w:val="21"/>
        </w:rPr>
        <w:t>Notable downgrades / target cuts: Jefferies cut Jack In The Box (JACK) to Underperform. HSBC reduced Eli Lilly (LLY) to Hold, citing GLP-1 competition. Argus reduced DraftKings (DKNG) to Hold on regulatory headwinds in three new states. Citi cut Home Depot (HD) PT to $340 from $370 ahead of earnings, maintaining Neutral. Barclays trimmed Target (TGT) PT to $98 from $112, also into the print.</w:t>
      </w:r>
    </w:p>
    <w:p>
      <w:pPr>
        <w:spacing w:before="360" w:after="120"/>
        <w:pBdr>
          <w:bottom w:val="single" w:sz="12" w:color="C9A227"/>
        </w:pBdr>
      </w:pPr>
      <w:r>
        <w:rPr>
          <w:rFonts w:ascii="Calibri" w:hAnsi="Calibri"/>
          <w:b/>
          <w:color w:val="0A1F44"/>
          <w:sz w:val="26"/>
        </w:rPr>
        <w:t>9. STOCKS TO WATCH</w:t>
      </w:r>
    </w:p>
    <w:p>
      <w:pPr>
        <w:spacing w:after="120"/>
      </w:pPr>
      <w:r>
        <w:rPr>
          <w:i w:val="0"/>
          <w:color w:val="101010"/>
          <w:sz w:val="21"/>
        </w:rPr>
        <w:t>Nvidia (NVDA): The week's anchor event. Watch the $108–$112 pre-earnings consolidation range; a break either way pre-print will be a tell. Implied move from options: ±7.4%.</w:t>
      </w:r>
    </w:p>
    <w:p>
      <w:pPr>
        <w:spacing w:after="120"/>
      </w:pPr>
      <w:r>
        <w:rPr>
          <w:i w:val="0"/>
          <w:color w:val="101010"/>
          <w:sz w:val="21"/>
        </w:rPr>
        <w:t>Apple (AAPL): Reports last week were fine but the stock is back to flat on the year. Trump-Xi no-deal removes the China-thaw narrative and the WWDC keynote June 9 is now the next catalyst.</w:t>
      </w:r>
    </w:p>
    <w:p>
      <w:pPr>
        <w:spacing w:after="120"/>
      </w:pPr>
      <w:r>
        <w:rPr>
          <w:i w:val="0"/>
          <w:color w:val="101010"/>
          <w:sz w:val="21"/>
        </w:rPr>
        <w:t>ExxonMobil (XOM) / Chevron (CVX): The cleanest Hormuz proxies. Both have decoupled from oil the past two sessions, suggesting either profit-taking or hedge-fund de-risking; either way, they screen for mean reversion if oil holds above $105.</w:t>
      </w:r>
    </w:p>
    <w:p>
      <w:pPr>
        <w:spacing w:after="120"/>
      </w:pPr>
      <w:r>
        <w:rPr>
          <w:i w:val="0"/>
          <w:color w:val="101010"/>
          <w:sz w:val="21"/>
        </w:rPr>
        <w:t>Tesla (TSLA): Below the 200-day for the first time since November. China headwinds, no Robotaxi catalyst until June 12 unveiling, and Musk's overnight tweetstorm at the Trump-Xi communiqué won't help. Bears in control.</w:t>
      </w:r>
    </w:p>
    <w:p>
      <w:pPr>
        <w:spacing w:after="120"/>
      </w:pPr>
      <w:r>
        <w:rPr>
          <w:i w:val="0"/>
          <w:color w:val="101010"/>
          <w:sz w:val="21"/>
        </w:rPr>
        <w:t>Palantir (PLTR): One of the few high-beta names that held up Friday (-0.4% vs. Nasdaq -1.5%). AIP commercial wins continue to underwrite the narrative; watch for follow-through if the broader tape stabilizes.</w:t>
      </w:r>
    </w:p>
    <w:p>
      <w:pPr>
        <w:spacing w:after="120"/>
      </w:pPr>
      <w:r>
        <w:rPr>
          <w:i w:val="0"/>
          <w:color w:val="101010"/>
          <w:sz w:val="21"/>
        </w:rPr>
        <w:t>Boeing (BA): 737 MAX delivery numbers leaked over the weekend suggest April was the strongest month in two years. Could be a defensive industrial bid amid the geopolitical noise.</w:t>
      </w:r>
    </w:p>
    <w:p>
      <w:pPr>
        <w:spacing w:after="120"/>
      </w:pPr>
      <w:r>
        <w:rPr>
          <w:i w:val="0"/>
          <w:color w:val="101010"/>
          <w:sz w:val="21"/>
        </w:rPr>
        <w:t>Home Depot (HD): Pre-earnings positioning is bearish. Implied move ±4.2%. A flat-to-positive comp print plus stable guidance could trigger a relief squeeze.</w:t>
      </w:r>
    </w:p>
    <w:p>
      <w:pPr>
        <w:spacing w:before="360" w:after="120"/>
        <w:pBdr>
          <w:bottom w:val="single" w:sz="12" w:color="C9A227"/>
        </w:pBdr>
      </w:pPr>
      <w:r>
        <w:rPr>
          <w:rFonts w:ascii="Calibri" w:hAnsi="Calibri"/>
          <w:b/>
          <w:color w:val="0A1F44"/>
          <w:sz w:val="26"/>
        </w:rPr>
        <w:t>10. GLOBAL MACRO SNAPSHOT</w:t>
      </w:r>
    </w:p>
    <w:p>
      <w:pPr>
        <w:spacing w:after="120"/>
      </w:pPr>
      <w:r>
        <w:rPr>
          <w:i w:val="0"/>
          <w:color w:val="101010"/>
          <w:sz w:val="21"/>
        </w:rPr>
        <w:t>Europe: The Stoxx 600 opened firmer on a defense-sector bid as the U.S.-Iran standoff continues to lift European primes (Rheinmetall, BAE, Leonardo). UK April CPI Wednesday is the marquee regional print; consensus 3.2% Y/Y. The ECB's Lagarde speaks Thursday at the Brussels Forum.</w:t>
      </w:r>
    </w:p>
    <w:p>
      <w:pPr>
        <w:spacing w:after="120"/>
      </w:pPr>
      <w:r>
        <w:rPr>
          <w:i w:val="0"/>
          <w:color w:val="101010"/>
          <w:sz w:val="21"/>
        </w:rPr>
        <w:t>Asia: Japan's Q1 GDP printed -0.7% annualized overnight, weaker than the -0.4% consensus, raising fresh questions about the BoJ's June meeting (markets had priced one more hike this year). The yen drifted weaker to 159.40 versus the dollar on the print — within striking distance of MoF intervention thresholds. Chinese April retail sales were +4.1% Y/Y, in line, but industrial production missed at +5.9% vs. 6.4% expected.</w:t>
      </w:r>
    </w:p>
    <w:p>
      <w:pPr>
        <w:spacing w:after="120"/>
      </w:pPr>
      <w:r>
        <w:rPr>
          <w:i w:val="0"/>
          <w:color w:val="101010"/>
          <w:sz w:val="21"/>
        </w:rPr>
        <w:t>Emerging markets: India's Sensex is up 2.1% over the past month, outperforming the EM complex as flows pivot away from Greater China. Brazil's CPI is Wednesday; the real has held up remarkably well versus the dollar's rally on commodity terms-of-trade tailwinds.</w:t>
      </w:r>
    </w:p>
    <w:p>
      <w:pPr>
        <w:spacing w:before="360" w:after="120"/>
        <w:pBdr>
          <w:bottom w:val="single" w:sz="12" w:color="C9A227"/>
        </w:pBdr>
      </w:pPr>
      <w:r>
        <w:rPr>
          <w:rFonts w:ascii="Calibri" w:hAnsi="Calibri"/>
          <w:b/>
          <w:color w:val="0A1F44"/>
          <w:sz w:val="26"/>
        </w:rPr>
        <w:t>11. WEEK AHEAD PREVIEW</w:t>
      </w:r>
    </w:p>
    <w:p>
      <w:pPr>
        <w:spacing w:after="120"/>
      </w:pPr>
      <w:r>
        <w:rPr>
          <w:i w:val="0"/>
          <w:color w:val="101010"/>
          <w:sz w:val="21"/>
        </w:rPr>
        <w:t>Three set-piece events frame the week:</w:t>
      </w:r>
    </w:p>
    <w:p>
      <w:pPr>
        <w:spacing w:after="120"/>
      </w:pPr>
      <w:r>
        <w:rPr>
          <w:i w:val="0"/>
          <w:color w:val="101010"/>
          <w:sz w:val="21"/>
        </w:rPr>
        <w:t>(1) Wednesday 5:00 p.m. — Nvidia. Anything south of $87 billion in Q2 guidance is a problem for the AI trade and, by extension, for index leadership. Anything north of $90 billion likely reignites the chase into year-end.</w:t>
      </w:r>
    </w:p>
    <w:p>
      <w:pPr>
        <w:spacing w:after="120"/>
      </w:pPr>
      <w:r>
        <w:rPr>
          <w:i w:val="0"/>
          <w:color w:val="101010"/>
          <w:sz w:val="21"/>
        </w:rPr>
        <w:t>(2) Thursday 2:00 p.m. — FOMC minutes. The market has done 75% of the Fed's heavy lifting in the past two weeks by repricing rate-hike probabilities. If the April minutes confirm that Powell's committee is more divided than the statement suggested, the rates complex extends its move. If the minutes lean dovish — emphasizing the temporary nature of the energy shock — duration finally gets a bid.</w:t>
      </w:r>
    </w:p>
    <w:p>
      <w:pPr>
        <w:spacing w:after="120"/>
      </w:pPr>
      <w:r>
        <w:rPr>
          <w:i w:val="0"/>
          <w:color w:val="101010"/>
          <w:sz w:val="21"/>
        </w:rPr>
        <w:t>(3) Friday 9:45 a.m. — S&amp;P Global flash May PMIs. Manufacturing slipping back below 50 would be the first sign that the energy shock is actively crimping growth, complicating any hawkish Fed pivot.</w:t>
      </w:r>
    </w:p>
    <w:p>
      <w:pPr>
        <w:spacing w:after="120"/>
      </w:pPr>
      <w:r>
        <w:rPr>
          <w:i w:val="0"/>
          <w:color w:val="101010"/>
          <w:sz w:val="21"/>
        </w:rPr>
        <w:t>Beyond the U.S., watch UK CPI Wednesday and Japan's national CPI Friday for confirmation that the global inflation re-acceleration is genuinely global rather than U.S.-centric.</w:t>
      </w:r>
    </w:p>
    <w:p>
      <w:pPr>
        <w:spacing w:before="360" w:after="120"/>
        <w:pBdr>
          <w:bottom w:val="single" w:sz="12" w:color="C9A227"/>
        </w:pBdr>
      </w:pPr>
      <w:r>
        <w:rPr>
          <w:rFonts w:ascii="Calibri" w:hAnsi="Calibri"/>
          <w:b/>
          <w:color w:val="0A1F44"/>
          <w:sz w:val="26"/>
        </w:rPr>
        <w:t>12. THE CLOSING THOUGHT</w:t>
      </w:r>
    </w:p>
    <w:p>
      <w:pPr>
        <w:spacing w:after="120"/>
      </w:pPr>
      <w:r>
        <w:rPr>
          <w:i/>
          <w:color w:val="0A1F44"/>
          <w:sz w:val="21"/>
        </w:rPr>
        <w:t>Markets have spent the past three weeks discovering that 'higher for longer' has a sequel — and the sequel is called 'higher again.' The April CPI/PPI combination, the persistent oil bid, and a Fed split four ways on its next move have collapsed the dovish optionality that underpinned the spring rally. The remarkable thing is how orderly it has been so far. The S&amp;P 500 is still up 2% on the year. The VIX is still below 20. Credit spreads have widened less than 30 basis points. The story this week is whether that orderly repricing tips into something disorderly — and the two events most likely to determine the answer are a chip company's quarterly call on Wednesday afternoon and a set of meeting minutes Thursday at 2:00. It's a strange world. Trade it carefully.</w:t>
      </w:r>
    </w:p>
    <w:p>
      <w:pPr>
        <w:spacing w:after="120"/>
      </w:pPr>
      <w:r>
        <w:rPr>
          <w:i w:val="0"/>
          <w:color w:val="101010"/>
          <w:sz w:val="21"/>
        </w:rPr>
      </w:r>
    </w:p>
    <w:p>
      <w:pPr>
        <w:jc w:val="center"/>
      </w:pPr>
      <w:r>
        <w:rPr>
          <w:i/>
          <w:color w:val="555555"/>
          <w:sz w:val="16"/>
        </w:rPr>
        <w:t>— The Brookside Brief  •  Compiled 9:30 AM ET  •  Sources: WSJ, CNBC, Bloomberg, Reuters, Fortune, TradingEconomics, S&amp;P Global, BLS, U.S. Treasury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