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0A1F44"/>
          <w:sz w:val="56"/>
        </w:rPr>
        <w:t>THE BROOKSIDE BRIEF</w:t>
      </w:r>
    </w:p>
    <w:p>
      <w:pPr>
        <w:spacing w:after="0"/>
        <w:jc w:val="center"/>
      </w:pPr>
      <w:r>
        <w:rPr>
          <w:i/>
          <w:color w:val="555555"/>
          <w:sz w:val="21"/>
        </w:rPr>
        <w:t>A morning briefing on markets, macro, and the day ahead</w:t>
      </w:r>
    </w:p>
    <w:p>
      <w:pPr>
        <w:spacing w:before="80" w:after="160"/>
        <w:jc w:val="center"/>
        <w:pBdr>
          <w:bottom w:val="single" w:sz="18" w:color="0A1F44"/>
        </w:pBdr>
      </w:pPr>
      <w:r>
        <w:rPr>
          <w:b/>
          <w:color w:val="C9A227"/>
          <w:sz w:val="20"/>
        </w:rPr>
        <w:t>Tuesday, May 19, 2026  •  9:30 AM ET</w:t>
      </w:r>
    </w:p>
    <w:p>
      <w:pPr>
        <w:spacing w:before="360" w:after="120"/>
        <w:pBdr>
          <w:bottom w:val="single" w:sz="12" w:color="C9A227"/>
        </w:pBdr>
      </w:pPr>
      <w:r>
        <w:rPr>
          <w:rFonts w:ascii="Calibri" w:hAnsi="Calibri"/>
          <w:b/>
          <w:color w:val="0A1F44"/>
          <w:sz w:val="26"/>
        </w:rPr>
        <w:t>1. THE MORNING SETUP</w:t>
      </w:r>
    </w:p>
    <w:p>
      <w:pPr>
        <w:spacing w:after="120"/>
      </w:pPr>
      <w:r>
        <w:rPr>
          <w:i w:val="0"/>
          <w:color w:val="101010"/>
          <w:sz w:val="21"/>
        </w:rPr>
        <w:t>Good morning. The market opens Tuesday with a fascinating split-screen: oil and bonds have blinked, but equities haven't fully figured out what to do with it. President Trump's overnight decision to call off a 'scheduled attack of Iran tomorrow' — following private appeals from Saudi Arabia, Qatar, and the UAE — has knocked WTI back through $103 and pulled Brent toward $107. The Strait of Hormuz remains restricted but a handful of tankers have resumed transit. It is the first material de-escalation signal in six weeks.</w:t>
      </w:r>
    </w:p>
    <w:p>
      <w:pPr>
        <w:spacing w:after="120"/>
      </w:pPr>
      <w:r>
        <w:rPr>
          <w:i w:val="0"/>
          <w:color w:val="101010"/>
          <w:sz w:val="21"/>
        </w:rPr>
        <w:t>And yet — the 30-year Treasury yield closed Friday at 5.12%, above the psychologically important 5% line for the first time since October 2023. Yesterday's session was telling: the Dow eked out a 160-point gain on energy and defensives, but the Nasdaq sagged another 0.51% as chip stocks continued to bleed ahead of tomorrow's Nvidia print. The S&amp;P 500 closed essentially flat at 7,403.05 — a stalemate between the oil-relief bid and the rates-pain trade.</w:t>
      </w:r>
    </w:p>
    <w:p>
      <w:pPr>
        <w:spacing w:after="120"/>
      </w:pPr>
      <w:r>
        <w:rPr>
          <w:i w:val="0"/>
          <w:color w:val="101010"/>
          <w:sz w:val="21"/>
        </w:rPr>
        <w:t>This morning's tape is mixed. Home Depot reported pre-open and beat: $3.43 EPS vs. $3.41 estimated, $41.77B revenue vs. $41.52B, comparable sales up 0.6% (versus flat consensus), and crucially management reaffirmed full-year guidance. The print removes one tail risk for the housing-sensitive complex but doesn't change the bigger picture: rates are still elevated, Nvidia tomorrow night is still the binary, and the FOMC minutes Thursday will tell us how much patience this Fed has left.</w:t>
      </w:r>
    </w:p>
    <w:p>
      <w:pPr>
        <w:spacing w:before="360" w:after="120"/>
        <w:pBdr>
          <w:bottom w:val="single" w:sz="12" w:color="C9A227"/>
        </w:pBdr>
      </w:pPr>
      <w:r>
        <w:rPr>
          <w:rFonts w:ascii="Calibri" w:hAnsi="Calibri"/>
          <w:b/>
          <w:color w:val="0A1F44"/>
          <w:sz w:val="26"/>
        </w:rPr>
        <w:t>2. MARKETS AT A GLANCE</w:t>
      </w:r>
    </w:p>
    <w:p>
      <w:pPr>
        <w:spacing w:before="200" w:after="40"/>
      </w:pPr>
      <w:r>
        <w:rPr>
          <w:b/>
          <w:color w:val="0A1F44"/>
          <w:sz w:val="22"/>
        </w:rPr>
        <w:t>U.S. Equity Futures (pre-open)</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S&amp;P 500 (ES)</w:t>
            </w:r>
          </w:p>
        </w:tc>
        <w:tc>
          <w:tcPr>
            <w:tcW w:type="dxa" w:w="2493"/>
            <w:tcBorders>
              <w:top w:val="single" w:sz="4" w:color="BFBFBF"/>
              <w:bottom w:val="single" w:sz="4" w:color="BFBFBF"/>
            </w:tcBorders>
          </w:tcPr>
          <w:p>
            <w:r>
              <w:rPr>
                <w:sz w:val="20"/>
              </w:rPr>
              <w:t>7,381</w:t>
            </w:r>
          </w:p>
        </w:tc>
        <w:tc>
          <w:tcPr>
            <w:tcW w:type="dxa" w:w="2493"/>
            <w:tcBorders>
              <w:top w:val="single" w:sz="4" w:color="BFBFBF"/>
              <w:bottom w:val="single" w:sz="4" w:color="BFBFBF"/>
            </w:tcBorders>
          </w:tcPr>
          <w:p>
            <w:r>
              <w:rPr>
                <w:color w:val="B31B1B"/>
                <w:sz w:val="20"/>
              </w:rPr>
              <w:t>-22</w:t>
            </w:r>
          </w:p>
        </w:tc>
        <w:tc>
          <w:tcPr>
            <w:tcW w:type="dxa" w:w="2493"/>
            <w:tcBorders>
              <w:top w:val="single" w:sz="4" w:color="BFBFBF"/>
              <w:bottom w:val="single" w:sz="4" w:color="BFBFBF"/>
            </w:tcBorders>
          </w:tcPr>
          <w:p>
            <w:r>
              <w:rPr>
                <w:color w:val="B31B1B"/>
                <w:sz w:val="20"/>
              </w:rPr>
              <w:t>-0.30%</w:t>
            </w:r>
          </w:p>
        </w:tc>
      </w:tr>
      <w:tr>
        <w:tc>
          <w:tcPr>
            <w:tcW w:type="dxa" w:w="2493"/>
            <w:shd w:val="clear" w:color="auto" w:fill="F4F1E8"/>
            <w:tcBorders>
              <w:top w:val="single" w:sz="4" w:color="BFBFBF"/>
              <w:bottom w:val="single" w:sz="4" w:color="BFBFBF"/>
            </w:tcBorders>
          </w:tcPr>
          <w:p>
            <w:r>
              <w:rPr>
                <w:sz w:val="20"/>
              </w:rPr>
              <w:t>Nasdaq 100 (NQ)</w:t>
            </w:r>
          </w:p>
        </w:tc>
        <w:tc>
          <w:tcPr>
            <w:tcW w:type="dxa" w:w="2493"/>
            <w:shd w:val="clear" w:color="auto" w:fill="F4F1E8"/>
            <w:tcBorders>
              <w:top w:val="single" w:sz="4" w:color="BFBFBF"/>
              <w:bottom w:val="single" w:sz="4" w:color="BFBFBF"/>
            </w:tcBorders>
          </w:tcPr>
          <w:p>
            <w:r>
              <w:rPr>
                <w:sz w:val="20"/>
              </w:rPr>
              <w:t>25,665</w:t>
            </w:r>
          </w:p>
        </w:tc>
        <w:tc>
          <w:tcPr>
            <w:tcW w:type="dxa" w:w="2493"/>
            <w:shd w:val="clear" w:color="auto" w:fill="F4F1E8"/>
            <w:tcBorders>
              <w:top w:val="single" w:sz="4" w:color="BFBFBF"/>
              <w:bottom w:val="single" w:sz="4" w:color="BFBFBF"/>
            </w:tcBorders>
          </w:tcPr>
          <w:p>
            <w:r>
              <w:rPr>
                <w:color w:val="B31B1B"/>
                <w:sz w:val="20"/>
              </w:rPr>
              <w:t>-155</w:t>
            </w:r>
          </w:p>
        </w:tc>
        <w:tc>
          <w:tcPr>
            <w:tcW w:type="dxa" w:w="2493"/>
            <w:shd w:val="clear" w:color="auto" w:fill="F4F1E8"/>
            <w:tcBorders>
              <w:top w:val="single" w:sz="4" w:color="BFBFBF"/>
              <w:bottom w:val="single" w:sz="4" w:color="BFBFBF"/>
            </w:tcBorders>
          </w:tcPr>
          <w:p>
            <w:r>
              <w:rPr>
                <w:color w:val="B31B1B"/>
                <w:sz w:val="20"/>
              </w:rPr>
              <w:t>-0.60%</w:t>
            </w:r>
          </w:p>
        </w:tc>
      </w:tr>
      <w:tr>
        <w:tc>
          <w:tcPr>
            <w:tcW w:type="dxa" w:w="2493"/>
            <w:tcBorders>
              <w:top w:val="single" w:sz="4" w:color="BFBFBF"/>
              <w:bottom w:val="single" w:sz="4" w:color="BFBFBF"/>
            </w:tcBorders>
          </w:tcPr>
          <w:p>
            <w:r>
              <w:rPr>
                <w:sz w:val="20"/>
              </w:rPr>
              <w:t>Dow (YM)</w:t>
            </w:r>
          </w:p>
        </w:tc>
        <w:tc>
          <w:tcPr>
            <w:tcW w:type="dxa" w:w="2493"/>
            <w:tcBorders>
              <w:top w:val="single" w:sz="4" w:color="BFBFBF"/>
              <w:bottom w:val="single" w:sz="4" w:color="BFBFBF"/>
            </w:tcBorders>
          </w:tcPr>
          <w:p>
            <w:r>
              <w:rPr>
                <w:sz w:val="20"/>
              </w:rPr>
              <w:t>49,610</w:t>
            </w:r>
          </w:p>
        </w:tc>
        <w:tc>
          <w:tcPr>
            <w:tcW w:type="dxa" w:w="2493"/>
            <w:tcBorders>
              <w:top w:val="single" w:sz="4" w:color="BFBFBF"/>
              <w:bottom w:val="single" w:sz="4" w:color="BFBFBF"/>
            </w:tcBorders>
          </w:tcPr>
          <w:p>
            <w:r>
              <w:rPr>
                <w:color w:val="B31B1B"/>
                <w:sz w:val="20"/>
              </w:rPr>
              <w:t>-77</w:t>
            </w:r>
          </w:p>
        </w:tc>
        <w:tc>
          <w:tcPr>
            <w:tcW w:type="dxa" w:w="2493"/>
            <w:tcBorders>
              <w:top w:val="single" w:sz="4" w:color="BFBFBF"/>
              <w:bottom w:val="single" w:sz="4" w:color="BFBFBF"/>
            </w:tcBorders>
          </w:tcPr>
          <w:p>
            <w:r>
              <w:rPr>
                <w:color w:val="B31B1B"/>
                <w:sz w:val="20"/>
              </w:rPr>
              <w:t>-0.20%</w:t>
            </w:r>
          </w:p>
        </w:tc>
      </w:tr>
      <w:tr>
        <w:tc>
          <w:tcPr>
            <w:tcW w:type="dxa" w:w="2493"/>
            <w:shd w:val="clear" w:color="auto" w:fill="F4F1E8"/>
            <w:tcBorders>
              <w:top w:val="single" w:sz="4" w:color="BFBFBF"/>
              <w:bottom w:val="single" w:sz="4" w:color="BFBFBF"/>
            </w:tcBorders>
          </w:tcPr>
          <w:p>
            <w:r>
              <w:rPr>
                <w:sz w:val="20"/>
              </w:rPr>
              <w:t>Russell 2000 (RTY)</w:t>
            </w:r>
          </w:p>
        </w:tc>
        <w:tc>
          <w:tcPr>
            <w:tcW w:type="dxa" w:w="2493"/>
            <w:shd w:val="clear" w:color="auto" w:fill="F4F1E8"/>
            <w:tcBorders>
              <w:top w:val="single" w:sz="4" w:color="BFBFBF"/>
              <w:bottom w:val="single" w:sz="4" w:color="BFBFBF"/>
            </w:tcBorders>
          </w:tcPr>
          <w:p>
            <w:r>
              <w:rPr>
                <w:sz w:val="20"/>
              </w:rPr>
              <w:t>2,234</w:t>
            </w:r>
          </w:p>
        </w:tc>
        <w:tc>
          <w:tcPr>
            <w:tcW w:type="dxa" w:w="2493"/>
            <w:shd w:val="clear" w:color="auto" w:fill="F4F1E8"/>
            <w:tcBorders>
              <w:top w:val="single" w:sz="4" w:color="BFBFBF"/>
              <w:bottom w:val="single" w:sz="4" w:color="BFBFBF"/>
            </w:tcBorders>
          </w:tcPr>
          <w:p>
            <w:r>
              <w:rPr>
                <w:color w:val="B31B1B"/>
                <w:sz w:val="20"/>
              </w:rPr>
              <w:t>-4</w:t>
            </w:r>
          </w:p>
        </w:tc>
        <w:tc>
          <w:tcPr>
            <w:tcW w:type="dxa" w:w="2493"/>
            <w:shd w:val="clear" w:color="auto" w:fill="F4F1E8"/>
            <w:tcBorders>
              <w:top w:val="single" w:sz="4" w:color="BFBFBF"/>
              <w:bottom w:val="single" w:sz="4" w:color="BFBFBF"/>
            </w:tcBorders>
          </w:tcPr>
          <w:p>
            <w:r>
              <w:rPr>
                <w:color w:val="B31B1B"/>
                <w:sz w:val="20"/>
              </w:rPr>
              <w:t>-0.18%</w:t>
            </w:r>
          </w:p>
        </w:tc>
      </w:tr>
    </w:tbl>
    <w:p>
      <w:pPr>
        <w:spacing w:before="200" w:after="40"/>
      </w:pPr>
      <w:r>
        <w:rPr>
          <w:b/>
          <w:color w:val="0A1F44"/>
          <w:sz w:val="22"/>
        </w:rPr>
        <w:t>Prior Close (Monday, May 18)</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S&amp;P 500</w:t>
            </w:r>
          </w:p>
        </w:tc>
        <w:tc>
          <w:tcPr>
            <w:tcW w:type="dxa" w:w="2493"/>
            <w:tcBorders>
              <w:top w:val="single" w:sz="4" w:color="BFBFBF"/>
              <w:bottom w:val="single" w:sz="4" w:color="BFBFBF"/>
            </w:tcBorders>
          </w:tcPr>
          <w:p>
            <w:r>
              <w:rPr>
                <w:sz w:val="20"/>
              </w:rPr>
              <w:t>7,403.05</w:t>
            </w:r>
          </w:p>
        </w:tc>
        <w:tc>
          <w:tcPr>
            <w:tcW w:type="dxa" w:w="2493"/>
            <w:tcBorders>
              <w:top w:val="single" w:sz="4" w:color="BFBFBF"/>
              <w:bottom w:val="single" w:sz="4" w:color="BFBFBF"/>
            </w:tcBorders>
          </w:tcPr>
          <w:p>
            <w:r>
              <w:rPr>
                <w:color w:val="B31B1B"/>
                <w:sz w:val="20"/>
              </w:rPr>
              <w:t>-5.45</w:t>
            </w:r>
          </w:p>
        </w:tc>
        <w:tc>
          <w:tcPr>
            <w:tcW w:type="dxa" w:w="2493"/>
            <w:tcBorders>
              <w:top w:val="single" w:sz="4" w:color="BFBFBF"/>
              <w:bottom w:val="single" w:sz="4" w:color="BFBFBF"/>
            </w:tcBorders>
          </w:tcPr>
          <w:p>
            <w:r>
              <w:rPr>
                <w:color w:val="B31B1B"/>
                <w:sz w:val="20"/>
              </w:rPr>
              <w:t>-0.07%</w:t>
            </w:r>
          </w:p>
        </w:tc>
      </w:tr>
      <w:tr>
        <w:tc>
          <w:tcPr>
            <w:tcW w:type="dxa" w:w="2493"/>
            <w:shd w:val="clear" w:color="auto" w:fill="F4F1E8"/>
            <w:tcBorders>
              <w:top w:val="single" w:sz="4" w:color="BFBFBF"/>
              <w:bottom w:val="single" w:sz="4" w:color="BFBFBF"/>
            </w:tcBorders>
          </w:tcPr>
          <w:p>
            <w:r>
              <w:rPr>
                <w:sz w:val="20"/>
              </w:rPr>
              <w:t>Nasdaq Composite</w:t>
            </w:r>
          </w:p>
        </w:tc>
        <w:tc>
          <w:tcPr>
            <w:tcW w:type="dxa" w:w="2493"/>
            <w:shd w:val="clear" w:color="auto" w:fill="F4F1E8"/>
            <w:tcBorders>
              <w:top w:val="single" w:sz="4" w:color="BFBFBF"/>
              <w:bottom w:val="single" w:sz="4" w:color="BFBFBF"/>
            </w:tcBorders>
          </w:tcPr>
          <w:p>
            <w:r>
              <w:rPr>
                <w:sz w:val="20"/>
              </w:rPr>
              <w:t>26,090.73</w:t>
            </w:r>
          </w:p>
        </w:tc>
        <w:tc>
          <w:tcPr>
            <w:tcW w:type="dxa" w:w="2493"/>
            <w:shd w:val="clear" w:color="auto" w:fill="F4F1E8"/>
            <w:tcBorders>
              <w:top w:val="single" w:sz="4" w:color="BFBFBF"/>
              <w:bottom w:val="single" w:sz="4" w:color="BFBFBF"/>
            </w:tcBorders>
          </w:tcPr>
          <w:p>
            <w:r>
              <w:rPr>
                <w:color w:val="B31B1B"/>
                <w:sz w:val="20"/>
              </w:rPr>
              <w:t>-134.41</w:t>
            </w:r>
          </w:p>
        </w:tc>
        <w:tc>
          <w:tcPr>
            <w:tcW w:type="dxa" w:w="2493"/>
            <w:shd w:val="clear" w:color="auto" w:fill="F4F1E8"/>
            <w:tcBorders>
              <w:top w:val="single" w:sz="4" w:color="BFBFBF"/>
              <w:bottom w:val="single" w:sz="4" w:color="BFBFBF"/>
            </w:tcBorders>
          </w:tcPr>
          <w:p>
            <w:r>
              <w:rPr>
                <w:color w:val="B31B1B"/>
                <w:sz w:val="20"/>
              </w:rPr>
              <w:t>-0.51%</w:t>
            </w:r>
          </w:p>
        </w:tc>
      </w:tr>
      <w:tr>
        <w:tc>
          <w:tcPr>
            <w:tcW w:type="dxa" w:w="2493"/>
            <w:tcBorders>
              <w:top w:val="single" w:sz="4" w:color="BFBFBF"/>
              <w:bottom w:val="single" w:sz="4" w:color="BFBFBF"/>
            </w:tcBorders>
          </w:tcPr>
          <w:p>
            <w:r>
              <w:rPr>
                <w:sz w:val="20"/>
              </w:rPr>
              <w:t>Dow Jones Industrial Avg.</w:t>
            </w:r>
          </w:p>
        </w:tc>
        <w:tc>
          <w:tcPr>
            <w:tcW w:type="dxa" w:w="2493"/>
            <w:tcBorders>
              <w:top w:val="single" w:sz="4" w:color="BFBFBF"/>
              <w:bottom w:val="single" w:sz="4" w:color="BFBFBF"/>
            </w:tcBorders>
          </w:tcPr>
          <w:p>
            <w:r>
              <w:rPr>
                <w:sz w:val="20"/>
              </w:rPr>
              <w:t>49,686.12</w:t>
            </w:r>
          </w:p>
        </w:tc>
        <w:tc>
          <w:tcPr>
            <w:tcW w:type="dxa" w:w="2493"/>
            <w:tcBorders>
              <w:top w:val="single" w:sz="4" w:color="BFBFBF"/>
              <w:bottom w:val="single" w:sz="4" w:color="BFBFBF"/>
            </w:tcBorders>
          </w:tcPr>
          <w:p>
            <w:r>
              <w:rPr>
                <w:color w:val="0B6B3A"/>
                <w:sz w:val="20"/>
              </w:rPr>
              <w:t>+159.95</w:t>
            </w:r>
          </w:p>
        </w:tc>
        <w:tc>
          <w:tcPr>
            <w:tcW w:type="dxa" w:w="2493"/>
            <w:tcBorders>
              <w:top w:val="single" w:sz="4" w:color="BFBFBF"/>
              <w:bottom w:val="single" w:sz="4" w:color="BFBFBF"/>
            </w:tcBorders>
          </w:tcPr>
          <w:p>
            <w:r>
              <w:rPr>
                <w:color w:val="0B6B3A"/>
                <w:sz w:val="20"/>
              </w:rPr>
              <w:t>+0.32%</w:t>
            </w:r>
          </w:p>
        </w:tc>
      </w:tr>
      <w:tr>
        <w:tc>
          <w:tcPr>
            <w:tcW w:type="dxa" w:w="2493"/>
            <w:shd w:val="clear" w:color="auto" w:fill="F4F1E8"/>
            <w:tcBorders>
              <w:top w:val="single" w:sz="4" w:color="BFBFBF"/>
              <w:bottom w:val="single" w:sz="4" w:color="BFBFBF"/>
            </w:tcBorders>
          </w:tcPr>
          <w:p>
            <w:r>
              <w:rPr>
                <w:sz w:val="20"/>
              </w:rPr>
              <w:t>Russell 2000</w:t>
            </w:r>
          </w:p>
        </w:tc>
        <w:tc>
          <w:tcPr>
            <w:tcW w:type="dxa" w:w="2493"/>
            <w:shd w:val="clear" w:color="auto" w:fill="F4F1E8"/>
            <w:tcBorders>
              <w:top w:val="single" w:sz="4" w:color="BFBFBF"/>
              <w:bottom w:val="single" w:sz="4" w:color="BFBFBF"/>
            </w:tcBorders>
          </w:tcPr>
          <w:p>
            <w:r>
              <w:rPr>
                <w:sz w:val="20"/>
              </w:rPr>
              <w:t>2,238.05</w:t>
            </w:r>
          </w:p>
        </w:tc>
        <w:tc>
          <w:tcPr>
            <w:tcW w:type="dxa" w:w="2493"/>
            <w:shd w:val="clear" w:color="auto" w:fill="F4F1E8"/>
            <w:tcBorders>
              <w:top w:val="single" w:sz="4" w:color="BFBFBF"/>
              <w:bottom w:val="single" w:sz="4" w:color="BFBFBF"/>
            </w:tcBorders>
          </w:tcPr>
          <w:p>
            <w:r>
              <w:rPr>
                <w:color w:val="B31B1B"/>
                <w:sz w:val="20"/>
              </w:rPr>
              <w:t>-3.25</w:t>
            </w:r>
          </w:p>
        </w:tc>
        <w:tc>
          <w:tcPr>
            <w:tcW w:type="dxa" w:w="2493"/>
            <w:shd w:val="clear" w:color="auto" w:fill="F4F1E8"/>
            <w:tcBorders>
              <w:top w:val="single" w:sz="4" w:color="BFBFBF"/>
              <w:bottom w:val="single" w:sz="4" w:color="BFBFBF"/>
            </w:tcBorders>
          </w:tcPr>
          <w:p>
            <w:r>
              <w:rPr>
                <w:color w:val="B31B1B"/>
                <w:sz w:val="20"/>
              </w:rPr>
              <w:t>-0.15%</w:t>
            </w:r>
          </w:p>
        </w:tc>
      </w:tr>
      <w:tr>
        <w:tc>
          <w:tcPr>
            <w:tcW w:type="dxa" w:w="2493"/>
            <w:tcBorders>
              <w:top w:val="single" w:sz="4" w:color="BFBFBF"/>
              <w:bottom w:val="single" w:sz="4" w:color="BFBFBF"/>
            </w:tcBorders>
          </w:tcPr>
          <w:p>
            <w:r>
              <w:rPr>
                <w:sz w:val="20"/>
              </w:rPr>
              <w:t>VIX</w:t>
            </w:r>
          </w:p>
        </w:tc>
        <w:tc>
          <w:tcPr>
            <w:tcW w:type="dxa" w:w="2493"/>
            <w:tcBorders>
              <w:top w:val="single" w:sz="4" w:color="BFBFBF"/>
              <w:bottom w:val="single" w:sz="4" w:color="BFBFBF"/>
            </w:tcBorders>
          </w:tcPr>
          <w:p>
            <w:r>
              <w:rPr>
                <w:sz w:val="20"/>
              </w:rPr>
              <w:t>20.4</w:t>
            </w:r>
          </w:p>
        </w:tc>
        <w:tc>
          <w:tcPr>
            <w:tcW w:type="dxa" w:w="2493"/>
            <w:tcBorders>
              <w:top w:val="single" w:sz="4" w:color="BFBFBF"/>
              <w:bottom w:val="single" w:sz="4" w:color="BFBFBF"/>
            </w:tcBorders>
          </w:tcPr>
          <w:p>
            <w:r>
              <w:rPr>
                <w:color w:val="0B6B3A"/>
                <w:sz w:val="20"/>
              </w:rPr>
              <w:t>+0.6</w:t>
            </w:r>
          </w:p>
        </w:tc>
        <w:tc>
          <w:tcPr>
            <w:tcW w:type="dxa" w:w="2493"/>
            <w:tcBorders>
              <w:top w:val="single" w:sz="4" w:color="BFBFBF"/>
              <w:bottom w:val="single" w:sz="4" w:color="BFBFBF"/>
            </w:tcBorders>
          </w:tcPr>
          <w:p>
            <w:r>
              <w:rPr>
                <w:color w:val="0B6B3A"/>
                <w:sz w:val="20"/>
              </w:rPr>
              <w:t>+3.0%</w:t>
            </w:r>
          </w:p>
        </w:tc>
      </w:tr>
    </w:tbl>
    <w:p>
      <w:pPr>
        <w:spacing w:before="200" w:after="40"/>
      </w:pPr>
      <w:r>
        <w:rPr>
          <w:b/>
          <w:color w:val="0A1F44"/>
          <w:sz w:val="22"/>
        </w:rPr>
        <w:t>Rates &amp; FX</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UST 2-Year</w:t>
            </w:r>
          </w:p>
        </w:tc>
        <w:tc>
          <w:tcPr>
            <w:tcW w:type="dxa" w:w="2493"/>
            <w:tcBorders>
              <w:top w:val="single" w:sz="4" w:color="BFBFBF"/>
              <w:bottom w:val="single" w:sz="4" w:color="BFBFBF"/>
            </w:tcBorders>
          </w:tcPr>
          <w:p>
            <w:r>
              <w:rPr>
                <w:sz w:val="20"/>
              </w:rPr>
              <w:t>4.36%</w:t>
            </w:r>
          </w:p>
        </w:tc>
        <w:tc>
          <w:tcPr>
            <w:tcW w:type="dxa" w:w="2493"/>
            <w:tcBorders>
              <w:top w:val="single" w:sz="4" w:color="BFBFBF"/>
              <w:bottom w:val="single" w:sz="4" w:color="BFBFBF"/>
            </w:tcBorders>
          </w:tcPr>
          <w:p>
            <w:r>
              <w:rPr>
                <w:color w:val="0B6B3A"/>
                <w:sz w:val="20"/>
              </w:rPr>
              <w:t>+2 bps</w:t>
            </w:r>
          </w:p>
        </w:tc>
        <w:tc>
          <w:tcPr>
            <w:tcW w:type="dxa" w:w="2493"/>
            <w:tcBorders>
              <w:top w:val="single" w:sz="4" w:color="BFBFBF"/>
              <w:bottom w:val="single" w:sz="4" w:color="BFBFBF"/>
            </w:tcBorders>
          </w:tcPr>
          <w:p>
            <w:r>
              <w:rPr>
                <w:sz w:val="20"/>
              </w:rPr>
              <w:t>—</w:t>
            </w:r>
          </w:p>
        </w:tc>
      </w:tr>
      <w:tr>
        <w:tc>
          <w:tcPr>
            <w:tcW w:type="dxa" w:w="2493"/>
            <w:shd w:val="clear" w:color="auto" w:fill="F4F1E8"/>
            <w:tcBorders>
              <w:top w:val="single" w:sz="4" w:color="BFBFBF"/>
              <w:bottom w:val="single" w:sz="4" w:color="BFBFBF"/>
            </w:tcBorders>
          </w:tcPr>
          <w:p>
            <w:r>
              <w:rPr>
                <w:sz w:val="20"/>
              </w:rPr>
              <w:t>UST 10-Year</w:t>
            </w:r>
          </w:p>
        </w:tc>
        <w:tc>
          <w:tcPr>
            <w:tcW w:type="dxa" w:w="2493"/>
            <w:shd w:val="clear" w:color="auto" w:fill="F4F1E8"/>
            <w:tcBorders>
              <w:top w:val="single" w:sz="4" w:color="BFBFBF"/>
              <w:bottom w:val="single" w:sz="4" w:color="BFBFBF"/>
            </w:tcBorders>
          </w:tcPr>
          <w:p>
            <w:r>
              <w:rPr>
                <w:sz w:val="20"/>
              </w:rPr>
              <w:t>4.60%</w:t>
            </w:r>
          </w:p>
        </w:tc>
        <w:tc>
          <w:tcPr>
            <w:tcW w:type="dxa" w:w="2493"/>
            <w:shd w:val="clear" w:color="auto" w:fill="F4F1E8"/>
            <w:tcBorders>
              <w:top w:val="single" w:sz="4" w:color="BFBFBF"/>
              <w:bottom w:val="single" w:sz="4" w:color="BFBFBF"/>
            </w:tcBorders>
          </w:tcPr>
          <w:p>
            <w:r>
              <w:rPr>
                <w:color w:val="B31B1B"/>
                <w:sz w:val="20"/>
              </w:rPr>
              <w:t>-3 bps</w:t>
            </w:r>
          </w:p>
        </w:tc>
        <w:tc>
          <w:tcPr>
            <w:tcW w:type="dxa" w:w="2493"/>
            <w:shd w:val="clear" w:color="auto" w:fill="F4F1E8"/>
            <w:tcBorders>
              <w:top w:val="single" w:sz="4" w:color="BFBFBF"/>
              <w:bottom w:val="single" w:sz="4" w:color="BFBFBF"/>
            </w:tcBorders>
          </w:tcPr>
          <w:p>
            <w:r>
              <w:rPr>
                <w:sz w:val="20"/>
              </w:rPr>
              <w:t>—</w:t>
            </w:r>
          </w:p>
        </w:tc>
      </w:tr>
      <w:tr>
        <w:tc>
          <w:tcPr>
            <w:tcW w:type="dxa" w:w="2493"/>
            <w:tcBorders>
              <w:top w:val="single" w:sz="4" w:color="BFBFBF"/>
              <w:bottom w:val="single" w:sz="4" w:color="BFBFBF"/>
            </w:tcBorders>
          </w:tcPr>
          <w:p>
            <w:r>
              <w:rPr>
                <w:sz w:val="20"/>
              </w:rPr>
              <w:t>UST 30-Year</w:t>
            </w:r>
          </w:p>
        </w:tc>
        <w:tc>
          <w:tcPr>
            <w:tcW w:type="dxa" w:w="2493"/>
            <w:tcBorders>
              <w:top w:val="single" w:sz="4" w:color="BFBFBF"/>
              <w:bottom w:val="single" w:sz="4" w:color="BFBFBF"/>
            </w:tcBorders>
          </w:tcPr>
          <w:p>
            <w:r>
              <w:rPr>
                <w:sz w:val="20"/>
              </w:rPr>
              <w:t>5.12%</w:t>
            </w:r>
          </w:p>
        </w:tc>
        <w:tc>
          <w:tcPr>
            <w:tcW w:type="dxa" w:w="2493"/>
            <w:tcBorders>
              <w:top w:val="single" w:sz="4" w:color="BFBFBF"/>
              <w:bottom w:val="single" w:sz="4" w:color="BFBFBF"/>
            </w:tcBorders>
          </w:tcPr>
          <w:p>
            <w:r>
              <w:rPr>
                <w:color w:val="0B6B3A"/>
                <w:sz w:val="20"/>
              </w:rPr>
              <w:t>+16 bps</w:t>
            </w:r>
          </w:p>
        </w:tc>
        <w:tc>
          <w:tcPr>
            <w:tcW w:type="dxa" w:w="2493"/>
            <w:tcBorders>
              <w:top w:val="single" w:sz="4" w:color="BFBFBF"/>
              <w:bottom w:val="single" w:sz="4" w:color="BFBFBF"/>
            </w:tcBorders>
          </w:tcPr>
          <w:p>
            <w:r>
              <w:rPr>
                <w:sz w:val="20"/>
              </w:rPr>
              <w:t>—</w:t>
            </w:r>
          </w:p>
        </w:tc>
      </w:tr>
      <w:tr>
        <w:tc>
          <w:tcPr>
            <w:tcW w:type="dxa" w:w="2493"/>
            <w:shd w:val="clear" w:color="auto" w:fill="F4F1E8"/>
            <w:tcBorders>
              <w:top w:val="single" w:sz="4" w:color="BFBFBF"/>
              <w:bottom w:val="single" w:sz="4" w:color="BFBFBF"/>
            </w:tcBorders>
          </w:tcPr>
          <w:p>
            <w:r>
              <w:rPr>
                <w:sz w:val="20"/>
              </w:rPr>
              <w:t>DXY (Dollar Index)</w:t>
            </w:r>
          </w:p>
        </w:tc>
        <w:tc>
          <w:tcPr>
            <w:tcW w:type="dxa" w:w="2493"/>
            <w:shd w:val="clear" w:color="auto" w:fill="F4F1E8"/>
            <w:tcBorders>
              <w:top w:val="single" w:sz="4" w:color="BFBFBF"/>
              <w:bottom w:val="single" w:sz="4" w:color="BFBFBF"/>
            </w:tcBorders>
          </w:tcPr>
          <w:p>
            <w:r>
              <w:rPr>
                <w:sz w:val="20"/>
              </w:rPr>
              <w:t>99.18</w:t>
            </w:r>
          </w:p>
        </w:tc>
        <w:tc>
          <w:tcPr>
            <w:tcW w:type="dxa" w:w="2493"/>
            <w:shd w:val="clear" w:color="auto" w:fill="F4F1E8"/>
            <w:tcBorders>
              <w:top w:val="single" w:sz="4" w:color="BFBFBF"/>
              <w:bottom w:val="single" w:sz="4" w:color="BFBFBF"/>
            </w:tcBorders>
          </w:tcPr>
          <w:p>
            <w:r>
              <w:rPr>
                <w:color w:val="B31B1B"/>
                <w:sz w:val="20"/>
              </w:rPr>
              <w:t>-0.21</w:t>
            </w:r>
          </w:p>
        </w:tc>
        <w:tc>
          <w:tcPr>
            <w:tcW w:type="dxa" w:w="2493"/>
            <w:shd w:val="clear" w:color="auto" w:fill="F4F1E8"/>
            <w:tcBorders>
              <w:top w:val="single" w:sz="4" w:color="BFBFBF"/>
              <w:bottom w:val="single" w:sz="4" w:color="BFBFBF"/>
            </w:tcBorders>
          </w:tcPr>
          <w:p>
            <w:r>
              <w:rPr>
                <w:color w:val="B31B1B"/>
                <w:sz w:val="20"/>
              </w:rPr>
              <w:t>-0.21%</w:t>
            </w:r>
          </w:p>
        </w:tc>
      </w:tr>
      <w:tr>
        <w:tc>
          <w:tcPr>
            <w:tcW w:type="dxa" w:w="2493"/>
            <w:tcBorders>
              <w:top w:val="single" w:sz="4" w:color="BFBFBF"/>
              <w:bottom w:val="single" w:sz="4" w:color="BFBFBF"/>
            </w:tcBorders>
          </w:tcPr>
          <w:p>
            <w:r>
              <w:rPr>
                <w:sz w:val="20"/>
              </w:rPr>
              <w:t>EUR/USD</w:t>
            </w:r>
          </w:p>
        </w:tc>
        <w:tc>
          <w:tcPr>
            <w:tcW w:type="dxa" w:w="2493"/>
            <w:tcBorders>
              <w:top w:val="single" w:sz="4" w:color="BFBFBF"/>
              <w:bottom w:val="single" w:sz="4" w:color="BFBFBF"/>
            </w:tcBorders>
          </w:tcPr>
          <w:p>
            <w:r>
              <w:rPr>
                <w:sz w:val="20"/>
              </w:rPr>
              <w:t>1.0742</w:t>
            </w:r>
          </w:p>
        </w:tc>
        <w:tc>
          <w:tcPr>
            <w:tcW w:type="dxa" w:w="2493"/>
            <w:tcBorders>
              <w:top w:val="single" w:sz="4" w:color="BFBFBF"/>
              <w:bottom w:val="single" w:sz="4" w:color="BFBFBF"/>
            </w:tcBorders>
          </w:tcPr>
          <w:p>
            <w:r>
              <w:rPr>
                <w:color w:val="0B6B3A"/>
                <w:sz w:val="20"/>
              </w:rPr>
              <w:t>+0.0030</w:t>
            </w:r>
          </w:p>
        </w:tc>
        <w:tc>
          <w:tcPr>
            <w:tcW w:type="dxa" w:w="2493"/>
            <w:tcBorders>
              <w:top w:val="single" w:sz="4" w:color="BFBFBF"/>
              <w:bottom w:val="single" w:sz="4" w:color="BFBFBF"/>
            </w:tcBorders>
          </w:tcPr>
          <w:p>
            <w:r>
              <w:rPr>
                <w:color w:val="0B6B3A"/>
                <w:sz w:val="20"/>
              </w:rPr>
              <w:t>+0.28%</w:t>
            </w:r>
          </w:p>
        </w:tc>
      </w:tr>
      <w:tr>
        <w:tc>
          <w:tcPr>
            <w:tcW w:type="dxa" w:w="2493"/>
            <w:shd w:val="clear" w:color="auto" w:fill="F4F1E8"/>
            <w:tcBorders>
              <w:top w:val="single" w:sz="4" w:color="BFBFBF"/>
              <w:bottom w:val="single" w:sz="4" w:color="BFBFBF"/>
            </w:tcBorders>
          </w:tcPr>
          <w:p>
            <w:r>
              <w:rPr>
                <w:sz w:val="20"/>
              </w:rPr>
              <w:t>USD/JPY</w:t>
            </w:r>
          </w:p>
        </w:tc>
        <w:tc>
          <w:tcPr>
            <w:tcW w:type="dxa" w:w="2493"/>
            <w:shd w:val="clear" w:color="auto" w:fill="F4F1E8"/>
            <w:tcBorders>
              <w:top w:val="single" w:sz="4" w:color="BFBFBF"/>
              <w:bottom w:val="single" w:sz="4" w:color="BFBFBF"/>
            </w:tcBorders>
          </w:tcPr>
          <w:p>
            <w:r>
              <w:rPr>
                <w:sz w:val="20"/>
              </w:rPr>
              <w:t>158.20</w:t>
            </w:r>
          </w:p>
        </w:tc>
        <w:tc>
          <w:tcPr>
            <w:tcW w:type="dxa" w:w="2493"/>
            <w:shd w:val="clear" w:color="auto" w:fill="F4F1E8"/>
            <w:tcBorders>
              <w:top w:val="single" w:sz="4" w:color="BFBFBF"/>
              <w:bottom w:val="single" w:sz="4" w:color="BFBFBF"/>
            </w:tcBorders>
          </w:tcPr>
          <w:p>
            <w:r>
              <w:rPr>
                <w:color w:val="B31B1B"/>
                <w:sz w:val="20"/>
              </w:rPr>
              <w:t>-1.20</w:t>
            </w:r>
          </w:p>
        </w:tc>
        <w:tc>
          <w:tcPr>
            <w:tcW w:type="dxa" w:w="2493"/>
            <w:shd w:val="clear" w:color="auto" w:fill="F4F1E8"/>
            <w:tcBorders>
              <w:top w:val="single" w:sz="4" w:color="BFBFBF"/>
              <w:bottom w:val="single" w:sz="4" w:color="BFBFBF"/>
            </w:tcBorders>
          </w:tcPr>
          <w:p>
            <w:r>
              <w:rPr>
                <w:color w:val="B31B1B"/>
                <w:sz w:val="20"/>
              </w:rPr>
              <w:t>-0.75%</w:t>
            </w:r>
          </w:p>
        </w:tc>
      </w:tr>
    </w:tbl>
    <w:p>
      <w:pPr>
        <w:spacing w:before="200" w:after="40"/>
      </w:pPr>
      <w:r>
        <w:rPr>
          <w:b/>
          <w:color w:val="0A1F44"/>
          <w:sz w:val="22"/>
        </w:rPr>
        <w:t>Commodities &amp; Crypto</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WTI Crude (Jun)</w:t>
            </w:r>
          </w:p>
        </w:tc>
        <w:tc>
          <w:tcPr>
            <w:tcW w:type="dxa" w:w="2493"/>
            <w:tcBorders>
              <w:top w:val="single" w:sz="4" w:color="BFBFBF"/>
              <w:bottom w:val="single" w:sz="4" w:color="BFBFBF"/>
            </w:tcBorders>
          </w:tcPr>
          <w:p>
            <w:r>
              <w:rPr>
                <w:sz w:val="20"/>
              </w:rPr>
              <w:t>$103.10</w:t>
            </w:r>
          </w:p>
        </w:tc>
        <w:tc>
          <w:tcPr>
            <w:tcW w:type="dxa" w:w="2493"/>
            <w:tcBorders>
              <w:top w:val="single" w:sz="4" w:color="BFBFBF"/>
              <w:bottom w:val="single" w:sz="4" w:color="BFBFBF"/>
            </w:tcBorders>
          </w:tcPr>
          <w:p>
            <w:r>
              <w:rPr>
                <w:color w:val="B31B1B"/>
                <w:sz w:val="20"/>
              </w:rPr>
              <w:t>-$3.55</w:t>
            </w:r>
          </w:p>
        </w:tc>
        <w:tc>
          <w:tcPr>
            <w:tcW w:type="dxa" w:w="2493"/>
            <w:tcBorders>
              <w:top w:val="single" w:sz="4" w:color="BFBFBF"/>
              <w:bottom w:val="single" w:sz="4" w:color="BFBFBF"/>
            </w:tcBorders>
          </w:tcPr>
          <w:p>
            <w:r>
              <w:rPr>
                <w:color w:val="B31B1B"/>
                <w:sz w:val="20"/>
              </w:rPr>
              <w:t>-3.33%</w:t>
            </w:r>
          </w:p>
        </w:tc>
      </w:tr>
      <w:tr>
        <w:tc>
          <w:tcPr>
            <w:tcW w:type="dxa" w:w="2493"/>
            <w:shd w:val="clear" w:color="auto" w:fill="F4F1E8"/>
            <w:tcBorders>
              <w:top w:val="single" w:sz="4" w:color="BFBFBF"/>
              <w:bottom w:val="single" w:sz="4" w:color="BFBFBF"/>
            </w:tcBorders>
          </w:tcPr>
          <w:p>
            <w:r>
              <w:rPr>
                <w:sz w:val="20"/>
              </w:rPr>
              <w:t>Brent Crude (Jul)</w:t>
            </w:r>
          </w:p>
        </w:tc>
        <w:tc>
          <w:tcPr>
            <w:tcW w:type="dxa" w:w="2493"/>
            <w:shd w:val="clear" w:color="auto" w:fill="F4F1E8"/>
            <w:tcBorders>
              <w:top w:val="single" w:sz="4" w:color="BFBFBF"/>
              <w:bottom w:val="single" w:sz="4" w:color="BFBFBF"/>
            </w:tcBorders>
          </w:tcPr>
          <w:p>
            <w:r>
              <w:rPr>
                <w:sz w:val="20"/>
              </w:rPr>
              <w:t>$106.85</w:t>
            </w:r>
          </w:p>
        </w:tc>
        <w:tc>
          <w:tcPr>
            <w:tcW w:type="dxa" w:w="2493"/>
            <w:shd w:val="clear" w:color="auto" w:fill="F4F1E8"/>
            <w:tcBorders>
              <w:top w:val="single" w:sz="4" w:color="BFBFBF"/>
              <w:bottom w:val="single" w:sz="4" w:color="BFBFBF"/>
            </w:tcBorders>
          </w:tcPr>
          <w:p>
            <w:r>
              <w:rPr>
                <w:color w:val="B31B1B"/>
                <w:sz w:val="20"/>
              </w:rPr>
              <w:t>-$3.27</w:t>
            </w:r>
          </w:p>
        </w:tc>
        <w:tc>
          <w:tcPr>
            <w:tcW w:type="dxa" w:w="2493"/>
            <w:shd w:val="clear" w:color="auto" w:fill="F4F1E8"/>
            <w:tcBorders>
              <w:top w:val="single" w:sz="4" w:color="BFBFBF"/>
              <w:bottom w:val="single" w:sz="4" w:color="BFBFBF"/>
            </w:tcBorders>
          </w:tcPr>
          <w:p>
            <w:r>
              <w:rPr>
                <w:color w:val="B31B1B"/>
                <w:sz w:val="20"/>
              </w:rPr>
              <w:t>-2.97%</w:t>
            </w:r>
          </w:p>
        </w:tc>
      </w:tr>
      <w:tr>
        <w:tc>
          <w:tcPr>
            <w:tcW w:type="dxa" w:w="2493"/>
            <w:tcBorders>
              <w:top w:val="single" w:sz="4" w:color="BFBFBF"/>
              <w:bottom w:val="single" w:sz="4" w:color="BFBFBF"/>
            </w:tcBorders>
          </w:tcPr>
          <w:p>
            <w:r>
              <w:rPr>
                <w:sz w:val="20"/>
              </w:rPr>
              <w:t>Gold (spot)</w:t>
            </w:r>
          </w:p>
        </w:tc>
        <w:tc>
          <w:tcPr>
            <w:tcW w:type="dxa" w:w="2493"/>
            <w:tcBorders>
              <w:top w:val="single" w:sz="4" w:color="BFBFBF"/>
              <w:bottom w:val="single" w:sz="4" w:color="BFBFBF"/>
            </w:tcBorders>
          </w:tcPr>
          <w:p>
            <w:r>
              <w:rPr>
                <w:sz w:val="20"/>
              </w:rPr>
              <w:t>$1,762</w:t>
            </w:r>
          </w:p>
        </w:tc>
        <w:tc>
          <w:tcPr>
            <w:tcW w:type="dxa" w:w="2493"/>
            <w:tcBorders>
              <w:top w:val="single" w:sz="4" w:color="BFBFBF"/>
              <w:bottom w:val="single" w:sz="4" w:color="BFBFBF"/>
            </w:tcBorders>
          </w:tcPr>
          <w:p>
            <w:r>
              <w:rPr>
                <w:color w:val="0B6B3A"/>
                <w:sz w:val="20"/>
              </w:rPr>
              <w:t>+$12</w:t>
            </w:r>
          </w:p>
        </w:tc>
        <w:tc>
          <w:tcPr>
            <w:tcW w:type="dxa" w:w="2493"/>
            <w:tcBorders>
              <w:top w:val="single" w:sz="4" w:color="BFBFBF"/>
              <w:bottom w:val="single" w:sz="4" w:color="BFBFBF"/>
            </w:tcBorders>
          </w:tcPr>
          <w:p>
            <w:r>
              <w:rPr>
                <w:color w:val="0B6B3A"/>
                <w:sz w:val="20"/>
              </w:rPr>
              <w:t>+0.69%</w:t>
            </w:r>
          </w:p>
        </w:tc>
      </w:tr>
      <w:tr>
        <w:tc>
          <w:tcPr>
            <w:tcW w:type="dxa" w:w="2493"/>
            <w:shd w:val="clear" w:color="auto" w:fill="F4F1E8"/>
            <w:tcBorders>
              <w:top w:val="single" w:sz="4" w:color="BFBFBF"/>
              <w:bottom w:val="single" w:sz="4" w:color="BFBFBF"/>
            </w:tcBorders>
          </w:tcPr>
          <w:p>
            <w:r>
              <w:rPr>
                <w:sz w:val="20"/>
              </w:rPr>
              <w:t>Silver (spot)</w:t>
            </w:r>
          </w:p>
        </w:tc>
        <w:tc>
          <w:tcPr>
            <w:tcW w:type="dxa" w:w="2493"/>
            <w:shd w:val="clear" w:color="auto" w:fill="F4F1E8"/>
            <w:tcBorders>
              <w:top w:val="single" w:sz="4" w:color="BFBFBF"/>
              <w:bottom w:val="single" w:sz="4" w:color="BFBFBF"/>
            </w:tcBorders>
          </w:tcPr>
          <w:p>
            <w:r>
              <w:rPr>
                <w:sz w:val="20"/>
              </w:rPr>
              <w:t>$20.32</w:t>
            </w:r>
          </w:p>
        </w:tc>
        <w:tc>
          <w:tcPr>
            <w:tcW w:type="dxa" w:w="2493"/>
            <w:shd w:val="clear" w:color="auto" w:fill="F4F1E8"/>
            <w:tcBorders>
              <w:top w:val="single" w:sz="4" w:color="BFBFBF"/>
              <w:bottom w:val="single" w:sz="4" w:color="BFBFBF"/>
            </w:tcBorders>
          </w:tcPr>
          <w:p>
            <w:r>
              <w:rPr>
                <w:color w:val="0B6B3A"/>
                <w:sz w:val="20"/>
              </w:rPr>
              <w:t>+$0.27</w:t>
            </w:r>
          </w:p>
        </w:tc>
        <w:tc>
          <w:tcPr>
            <w:tcW w:type="dxa" w:w="2493"/>
            <w:shd w:val="clear" w:color="auto" w:fill="F4F1E8"/>
            <w:tcBorders>
              <w:top w:val="single" w:sz="4" w:color="BFBFBF"/>
              <w:bottom w:val="single" w:sz="4" w:color="BFBFBF"/>
            </w:tcBorders>
          </w:tcPr>
          <w:p>
            <w:r>
              <w:rPr>
                <w:color w:val="0B6B3A"/>
                <w:sz w:val="20"/>
              </w:rPr>
              <w:t>+1.35%</w:t>
            </w:r>
          </w:p>
        </w:tc>
      </w:tr>
      <w:tr>
        <w:tc>
          <w:tcPr>
            <w:tcW w:type="dxa" w:w="2493"/>
            <w:tcBorders>
              <w:top w:val="single" w:sz="4" w:color="BFBFBF"/>
              <w:bottom w:val="single" w:sz="4" w:color="BFBFBF"/>
            </w:tcBorders>
          </w:tcPr>
          <w:p>
            <w:r>
              <w:rPr>
                <w:sz w:val="20"/>
              </w:rPr>
              <w:t>Bitcoin</w:t>
            </w:r>
          </w:p>
        </w:tc>
        <w:tc>
          <w:tcPr>
            <w:tcW w:type="dxa" w:w="2493"/>
            <w:tcBorders>
              <w:top w:val="single" w:sz="4" w:color="BFBFBF"/>
              <w:bottom w:val="single" w:sz="4" w:color="BFBFBF"/>
            </w:tcBorders>
          </w:tcPr>
          <w:p>
            <w:r>
              <w:rPr>
                <w:sz w:val="20"/>
              </w:rPr>
              <w:t>$78,420</w:t>
            </w:r>
          </w:p>
        </w:tc>
        <w:tc>
          <w:tcPr>
            <w:tcW w:type="dxa" w:w="2493"/>
            <w:tcBorders>
              <w:top w:val="single" w:sz="4" w:color="BFBFBF"/>
              <w:bottom w:val="single" w:sz="4" w:color="BFBFBF"/>
            </w:tcBorders>
          </w:tcPr>
          <w:p>
            <w:r>
              <w:rPr>
                <w:color w:val="0B6B3A"/>
                <w:sz w:val="20"/>
              </w:rPr>
              <w:t>+$1,515</w:t>
            </w:r>
          </w:p>
        </w:tc>
        <w:tc>
          <w:tcPr>
            <w:tcW w:type="dxa" w:w="2493"/>
            <w:tcBorders>
              <w:top w:val="single" w:sz="4" w:color="BFBFBF"/>
              <w:bottom w:val="single" w:sz="4" w:color="BFBFBF"/>
            </w:tcBorders>
          </w:tcPr>
          <w:p>
            <w:r>
              <w:rPr>
                <w:color w:val="0B6B3A"/>
                <w:sz w:val="20"/>
              </w:rPr>
              <w:t>+1.97%</w:t>
            </w:r>
          </w:p>
        </w:tc>
      </w:tr>
    </w:tbl>
    <w:p>
      <w:pPr>
        <w:spacing w:before="200" w:after="40"/>
      </w:pPr>
      <w:r>
        <w:rPr>
          <w:b/>
          <w:color w:val="0A1F44"/>
          <w:sz w:val="22"/>
        </w:rPr>
        <w:t>Asia &amp; Europe</w:t>
      </w:r>
    </w:p>
    <w:tbl>
      <w:tblPr>
        <w:tblW w:type="auto" w:w="0"/>
        <w:jc w:val="left"/>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Asset</w:t>
            </w:r>
          </w:p>
        </w:tc>
        <w:tc>
          <w:tcPr>
            <w:tcW w:type="dxa" w:w="2493"/>
            <w:shd w:val="clear" w:color="auto" w:fill="0A1F44"/>
          </w:tcPr>
          <w:p>
            <w:r>
              <w:rPr>
                <w:b/>
                <w:color w:val="FFFFFF"/>
                <w:sz w:val="20"/>
              </w:rPr>
              <w:t>Last</w:t>
            </w:r>
          </w:p>
        </w:tc>
        <w:tc>
          <w:tcPr>
            <w:tcW w:type="dxa" w:w="2493"/>
            <w:shd w:val="clear" w:color="auto" w:fill="0A1F44"/>
          </w:tcPr>
          <w:p>
            <w:r>
              <w:rPr>
                <w:b/>
                <w:color w:val="FFFFFF"/>
                <w:sz w:val="20"/>
              </w:rPr>
              <w:t>Change</w:t>
            </w:r>
          </w:p>
        </w:tc>
        <w:tc>
          <w:tcPr>
            <w:tcW w:type="dxa" w:w="2493"/>
            <w:shd w:val="clear" w:color="auto" w:fill="0A1F44"/>
          </w:tcPr>
          <w:p>
            <w:r>
              <w:rPr>
                <w:b/>
                <w:color w:val="FFFFFF"/>
                <w:sz w:val="20"/>
              </w:rPr>
              <w:t>% Chg</w:t>
            </w:r>
          </w:p>
        </w:tc>
      </w:tr>
      <w:tr>
        <w:tc>
          <w:tcPr>
            <w:tcW w:type="dxa" w:w="2493"/>
            <w:tcBorders>
              <w:top w:val="single" w:sz="4" w:color="BFBFBF"/>
              <w:bottom w:val="single" w:sz="4" w:color="BFBFBF"/>
            </w:tcBorders>
          </w:tcPr>
          <w:p>
            <w:r>
              <w:rPr>
                <w:sz w:val="20"/>
              </w:rPr>
              <w:t>Nikkei 225</w:t>
            </w:r>
          </w:p>
        </w:tc>
        <w:tc>
          <w:tcPr>
            <w:tcW w:type="dxa" w:w="2493"/>
            <w:tcBorders>
              <w:top w:val="single" w:sz="4" w:color="BFBFBF"/>
              <w:bottom w:val="single" w:sz="4" w:color="BFBFBF"/>
            </w:tcBorders>
          </w:tcPr>
          <w:p>
            <w:r>
              <w:rPr>
                <w:sz w:val="20"/>
              </w:rPr>
              <w:t>Closed (Holiday)</w:t>
            </w:r>
          </w:p>
        </w:tc>
        <w:tc>
          <w:tcPr>
            <w:tcW w:type="dxa" w:w="2493"/>
            <w:tcBorders>
              <w:top w:val="single" w:sz="4" w:color="BFBFBF"/>
              <w:bottom w:val="single" w:sz="4" w:color="BFBFBF"/>
            </w:tcBorders>
          </w:tcPr>
          <w:p>
            <w:r>
              <w:rPr>
                <w:sz w:val="20"/>
              </w:rPr>
              <w:t>—</w:t>
            </w:r>
          </w:p>
        </w:tc>
        <w:tc>
          <w:tcPr>
            <w:tcW w:type="dxa" w:w="2493"/>
            <w:tcBorders>
              <w:top w:val="single" w:sz="4" w:color="BFBFBF"/>
              <w:bottom w:val="single" w:sz="4" w:color="BFBFBF"/>
            </w:tcBorders>
          </w:tcPr>
          <w:p>
            <w:r>
              <w:rPr>
                <w:sz w:val="20"/>
              </w:rPr>
              <w:t>—</w:t>
            </w:r>
          </w:p>
        </w:tc>
      </w:tr>
      <w:tr>
        <w:tc>
          <w:tcPr>
            <w:tcW w:type="dxa" w:w="2493"/>
            <w:shd w:val="clear" w:color="auto" w:fill="F4F1E8"/>
            <w:tcBorders>
              <w:top w:val="single" w:sz="4" w:color="BFBFBF"/>
              <w:bottom w:val="single" w:sz="4" w:color="BFBFBF"/>
            </w:tcBorders>
          </w:tcPr>
          <w:p>
            <w:r>
              <w:rPr>
                <w:sz w:val="20"/>
              </w:rPr>
              <w:t>Hang Seng</w:t>
            </w:r>
          </w:p>
        </w:tc>
        <w:tc>
          <w:tcPr>
            <w:tcW w:type="dxa" w:w="2493"/>
            <w:shd w:val="clear" w:color="auto" w:fill="F4F1E8"/>
            <w:tcBorders>
              <w:top w:val="single" w:sz="4" w:color="BFBFBF"/>
              <w:bottom w:val="single" w:sz="4" w:color="BFBFBF"/>
            </w:tcBorders>
          </w:tcPr>
          <w:p>
            <w:r>
              <w:rPr>
                <w:sz w:val="20"/>
              </w:rPr>
              <w:t>21,080</w:t>
            </w:r>
          </w:p>
        </w:tc>
        <w:tc>
          <w:tcPr>
            <w:tcW w:type="dxa" w:w="2493"/>
            <w:shd w:val="clear" w:color="auto" w:fill="F4F1E8"/>
            <w:tcBorders>
              <w:top w:val="single" w:sz="4" w:color="BFBFBF"/>
              <w:bottom w:val="single" w:sz="4" w:color="BFBFBF"/>
            </w:tcBorders>
          </w:tcPr>
          <w:p>
            <w:r>
              <w:rPr>
                <w:color w:val="B31B1B"/>
                <w:sz w:val="20"/>
              </w:rPr>
              <w:t>-70</w:t>
            </w:r>
          </w:p>
        </w:tc>
        <w:tc>
          <w:tcPr>
            <w:tcW w:type="dxa" w:w="2493"/>
            <w:shd w:val="clear" w:color="auto" w:fill="F4F1E8"/>
            <w:tcBorders>
              <w:top w:val="single" w:sz="4" w:color="BFBFBF"/>
              <w:bottom w:val="single" w:sz="4" w:color="BFBFBF"/>
            </w:tcBorders>
          </w:tcPr>
          <w:p>
            <w:r>
              <w:rPr>
                <w:color w:val="B31B1B"/>
                <w:sz w:val="20"/>
              </w:rPr>
              <w:t>-0.33%</w:t>
            </w:r>
          </w:p>
        </w:tc>
      </w:tr>
      <w:tr>
        <w:tc>
          <w:tcPr>
            <w:tcW w:type="dxa" w:w="2493"/>
            <w:tcBorders>
              <w:top w:val="single" w:sz="4" w:color="BFBFBF"/>
              <w:bottom w:val="single" w:sz="4" w:color="BFBFBF"/>
            </w:tcBorders>
          </w:tcPr>
          <w:p>
            <w:r>
              <w:rPr>
                <w:sz w:val="20"/>
              </w:rPr>
              <w:t>Australia ASX 200</w:t>
            </w:r>
          </w:p>
        </w:tc>
        <w:tc>
          <w:tcPr>
            <w:tcW w:type="dxa" w:w="2493"/>
            <w:tcBorders>
              <w:top w:val="single" w:sz="4" w:color="BFBFBF"/>
              <w:bottom w:val="single" w:sz="4" w:color="BFBFBF"/>
            </w:tcBorders>
          </w:tcPr>
          <w:p>
            <w:r>
              <w:rPr>
                <w:sz w:val="20"/>
              </w:rPr>
              <w:t>8,478</w:t>
            </w:r>
          </w:p>
        </w:tc>
        <w:tc>
          <w:tcPr>
            <w:tcW w:type="dxa" w:w="2493"/>
            <w:tcBorders>
              <w:top w:val="single" w:sz="4" w:color="BFBFBF"/>
              <w:bottom w:val="single" w:sz="4" w:color="BFBFBF"/>
            </w:tcBorders>
          </w:tcPr>
          <w:p>
            <w:r>
              <w:rPr>
                <w:color w:val="B31B1B"/>
                <w:sz w:val="20"/>
              </w:rPr>
              <w:t>-27</w:t>
            </w:r>
          </w:p>
        </w:tc>
        <w:tc>
          <w:tcPr>
            <w:tcW w:type="dxa" w:w="2493"/>
            <w:tcBorders>
              <w:top w:val="single" w:sz="4" w:color="BFBFBF"/>
              <w:bottom w:val="single" w:sz="4" w:color="BFBFBF"/>
            </w:tcBorders>
          </w:tcPr>
          <w:p>
            <w:r>
              <w:rPr>
                <w:color w:val="B31B1B"/>
                <w:sz w:val="20"/>
              </w:rPr>
              <w:t>-0.32%</w:t>
            </w:r>
          </w:p>
        </w:tc>
      </w:tr>
      <w:tr>
        <w:tc>
          <w:tcPr>
            <w:tcW w:type="dxa" w:w="2493"/>
            <w:shd w:val="clear" w:color="auto" w:fill="F4F1E8"/>
            <w:tcBorders>
              <w:top w:val="single" w:sz="4" w:color="BFBFBF"/>
              <w:bottom w:val="single" w:sz="4" w:color="BFBFBF"/>
            </w:tcBorders>
          </w:tcPr>
          <w:p>
            <w:r>
              <w:rPr>
                <w:sz w:val="20"/>
              </w:rPr>
              <w:t>Stoxx Europe 600</w:t>
            </w:r>
          </w:p>
        </w:tc>
        <w:tc>
          <w:tcPr>
            <w:tcW w:type="dxa" w:w="2493"/>
            <w:shd w:val="clear" w:color="auto" w:fill="F4F1E8"/>
            <w:tcBorders>
              <w:top w:val="single" w:sz="4" w:color="BFBFBF"/>
              <w:bottom w:val="single" w:sz="4" w:color="BFBFBF"/>
            </w:tcBorders>
          </w:tcPr>
          <w:p>
            <w:r>
              <w:rPr>
                <w:sz w:val="20"/>
              </w:rPr>
              <w:t>557.20</w:t>
            </w:r>
          </w:p>
        </w:tc>
        <w:tc>
          <w:tcPr>
            <w:tcW w:type="dxa" w:w="2493"/>
            <w:shd w:val="clear" w:color="auto" w:fill="F4F1E8"/>
            <w:tcBorders>
              <w:top w:val="single" w:sz="4" w:color="BFBFBF"/>
              <w:bottom w:val="single" w:sz="4" w:color="BFBFBF"/>
            </w:tcBorders>
          </w:tcPr>
          <w:p>
            <w:r>
              <w:rPr>
                <w:color w:val="0B6B3A"/>
                <w:sz w:val="20"/>
              </w:rPr>
              <w:t>+1.80</w:t>
            </w:r>
          </w:p>
        </w:tc>
        <w:tc>
          <w:tcPr>
            <w:tcW w:type="dxa" w:w="2493"/>
            <w:shd w:val="clear" w:color="auto" w:fill="F4F1E8"/>
            <w:tcBorders>
              <w:top w:val="single" w:sz="4" w:color="BFBFBF"/>
              <w:bottom w:val="single" w:sz="4" w:color="BFBFBF"/>
            </w:tcBorders>
          </w:tcPr>
          <w:p>
            <w:r>
              <w:rPr>
                <w:color w:val="0B6B3A"/>
                <w:sz w:val="20"/>
              </w:rPr>
              <w:t>+0.32%</w:t>
            </w:r>
          </w:p>
        </w:tc>
      </w:tr>
      <w:tr>
        <w:tc>
          <w:tcPr>
            <w:tcW w:type="dxa" w:w="2493"/>
            <w:tcBorders>
              <w:top w:val="single" w:sz="4" w:color="BFBFBF"/>
              <w:bottom w:val="single" w:sz="4" w:color="BFBFBF"/>
            </w:tcBorders>
          </w:tcPr>
          <w:p>
            <w:r>
              <w:rPr>
                <w:sz w:val="20"/>
              </w:rPr>
              <w:t>FTSE 100</w:t>
            </w:r>
          </w:p>
        </w:tc>
        <w:tc>
          <w:tcPr>
            <w:tcW w:type="dxa" w:w="2493"/>
            <w:tcBorders>
              <w:top w:val="single" w:sz="4" w:color="BFBFBF"/>
              <w:bottom w:val="single" w:sz="4" w:color="BFBFBF"/>
            </w:tcBorders>
          </w:tcPr>
          <w:p>
            <w:r>
              <w:rPr>
                <w:sz w:val="20"/>
              </w:rPr>
              <w:t>8,695</w:t>
            </w:r>
          </w:p>
        </w:tc>
        <w:tc>
          <w:tcPr>
            <w:tcW w:type="dxa" w:w="2493"/>
            <w:tcBorders>
              <w:top w:val="single" w:sz="4" w:color="BFBFBF"/>
              <w:bottom w:val="single" w:sz="4" w:color="BFBFBF"/>
            </w:tcBorders>
          </w:tcPr>
          <w:p>
            <w:r>
              <w:rPr>
                <w:color w:val="B31B1B"/>
                <w:sz w:val="20"/>
              </w:rPr>
              <w:t>-25</w:t>
            </w:r>
          </w:p>
        </w:tc>
        <w:tc>
          <w:tcPr>
            <w:tcW w:type="dxa" w:w="2493"/>
            <w:tcBorders>
              <w:top w:val="single" w:sz="4" w:color="BFBFBF"/>
              <w:bottom w:val="single" w:sz="4" w:color="BFBFBF"/>
            </w:tcBorders>
          </w:tcPr>
          <w:p>
            <w:r>
              <w:rPr>
                <w:color w:val="B31B1B"/>
                <w:sz w:val="20"/>
              </w:rPr>
              <w:t>-0.29%</w:t>
            </w:r>
          </w:p>
        </w:tc>
      </w:tr>
      <w:tr>
        <w:tc>
          <w:tcPr>
            <w:tcW w:type="dxa" w:w="2493"/>
            <w:shd w:val="clear" w:color="auto" w:fill="F4F1E8"/>
            <w:tcBorders>
              <w:top w:val="single" w:sz="4" w:color="BFBFBF"/>
              <w:bottom w:val="single" w:sz="4" w:color="BFBFBF"/>
            </w:tcBorders>
          </w:tcPr>
          <w:p>
            <w:r>
              <w:rPr>
                <w:sz w:val="20"/>
              </w:rPr>
              <w:t>DAX</w:t>
            </w:r>
          </w:p>
        </w:tc>
        <w:tc>
          <w:tcPr>
            <w:tcW w:type="dxa" w:w="2493"/>
            <w:shd w:val="clear" w:color="auto" w:fill="F4F1E8"/>
            <w:tcBorders>
              <w:top w:val="single" w:sz="4" w:color="BFBFBF"/>
              <w:bottom w:val="single" w:sz="4" w:color="BFBFBF"/>
            </w:tcBorders>
          </w:tcPr>
          <w:p>
            <w:r>
              <w:rPr>
                <w:sz w:val="20"/>
              </w:rPr>
              <w:t>19,920</w:t>
            </w:r>
          </w:p>
        </w:tc>
        <w:tc>
          <w:tcPr>
            <w:tcW w:type="dxa" w:w="2493"/>
            <w:shd w:val="clear" w:color="auto" w:fill="F4F1E8"/>
            <w:tcBorders>
              <w:top w:val="single" w:sz="4" w:color="BFBFBF"/>
              <w:bottom w:val="single" w:sz="4" w:color="BFBFBF"/>
            </w:tcBorders>
          </w:tcPr>
          <w:p>
            <w:r>
              <w:rPr>
                <w:color w:val="0B6B3A"/>
                <w:sz w:val="20"/>
              </w:rPr>
              <w:t>+80</w:t>
            </w:r>
          </w:p>
        </w:tc>
        <w:tc>
          <w:tcPr>
            <w:tcW w:type="dxa" w:w="2493"/>
            <w:shd w:val="clear" w:color="auto" w:fill="F4F1E8"/>
            <w:tcBorders>
              <w:top w:val="single" w:sz="4" w:color="BFBFBF"/>
              <w:bottom w:val="single" w:sz="4" w:color="BFBFBF"/>
            </w:tcBorders>
          </w:tcPr>
          <w:p>
            <w:r>
              <w:rPr>
                <w:color w:val="0B6B3A"/>
                <w:sz w:val="20"/>
              </w:rPr>
              <w:t>+0.40%</w:t>
            </w:r>
          </w:p>
        </w:tc>
      </w:tr>
    </w:tbl>
    <w:p>
      <w:pPr>
        <w:spacing w:before="360" w:after="120"/>
        <w:pBdr>
          <w:bottom w:val="single" w:sz="12" w:color="C9A227"/>
        </w:pBdr>
      </w:pPr>
      <w:r>
        <w:rPr>
          <w:rFonts w:ascii="Calibri" w:hAnsi="Calibri"/>
          <w:b/>
          <w:color w:val="0A1F44"/>
          <w:sz w:val="26"/>
        </w:rPr>
        <w:t>3. TOP STORIES</w:t>
      </w:r>
    </w:p>
    <w:p>
      <w:pPr>
        <w:spacing w:before="200" w:after="40"/>
      </w:pPr>
      <w:r>
        <w:rPr>
          <w:b/>
          <w:color w:val="0A1F44"/>
          <w:sz w:val="22"/>
        </w:rPr>
        <w:t>Trump Calls Off Iran Strike After Gulf-State Appeals — Oil Cracks $103</w:t>
      </w:r>
    </w:p>
    <w:p>
      <w:pPr>
        <w:spacing w:after="120"/>
      </w:pPr>
      <w:r>
        <w:rPr>
          <w:i w:val="0"/>
          <w:color w:val="101010"/>
          <w:sz w:val="21"/>
        </w:rPr>
        <w:t>In a Monday-evening post, President Trump confirmed he had 'shelved' a scheduled Tuesday strike on Iran following requests from the leaders of Saudi Arabia, Qatar, and the UAE, calling the diplomatic track 'very serious now.' Iran has not confirmed any breakthrough, but a handful of tankers — including a Vietnamese-bound Iraqi cargo — have resumed transit through the Strait of Hormuz overnight. Oil markets reacted swiftly: WTI for June delivery tumbled 3.3% to $103.10, its biggest single-session decline since the crisis began on February 28. Brent is back near $107. Energy equities are giving back roughly 4% pre-market, with E&amp;P names (FANG, EOG, PXD) leading the unwind.</w:t>
      </w:r>
    </w:p>
    <w:p>
      <w:pPr>
        <w:spacing w:before="200" w:after="40"/>
      </w:pPr>
      <w:r>
        <w:rPr>
          <w:b/>
          <w:color w:val="0A1F44"/>
          <w:sz w:val="22"/>
        </w:rPr>
        <w:t>30-Year Yield Punches Through 5% — First Time Since October 2023</w:t>
      </w:r>
    </w:p>
    <w:p>
      <w:pPr>
        <w:spacing w:after="120"/>
      </w:pPr>
      <w:r>
        <w:rPr>
          <w:i w:val="0"/>
          <w:color w:val="101010"/>
          <w:sz w:val="21"/>
        </w:rPr>
        <w:t>Friday's 30-year settle at 5.12% and Monday's hold at the same level mark a meaningful regime change. The last time the long bond traded above 5% on a sustained basis (October 2023), it preceded a 10% S&amp;P 500 drawdown over six weeks. The proximate driver is now well-known — hot CPI/PPI prints, oil-driven inflation premium, Fed dissents — but the second-order effect is what's interesting: 30-year mortgage rates have climbed to 7.85%, ten-year corporate spreads have widened 18 basis points in two weeks, and the iShares 20+ Year Treasury ETF (TLT) is at a new 52-week low. Watch tomorrow's $16B 20-year auction at 1:00 p.m. ET — a tail of more than 2 basis points would be ugly.</w:t>
      </w:r>
    </w:p>
    <w:p>
      <w:pPr>
        <w:spacing w:before="200" w:after="40"/>
      </w:pPr>
      <w:r>
        <w:rPr>
          <w:b/>
          <w:color w:val="0A1F44"/>
          <w:sz w:val="22"/>
        </w:rPr>
        <w:t>Home Depot Beats, Reaffirms Guide — Housing Read Less Dire Than Feared</w:t>
      </w:r>
    </w:p>
    <w:p>
      <w:pPr>
        <w:spacing w:after="120"/>
      </w:pPr>
      <w:r>
        <w:rPr>
          <w:i w:val="0"/>
          <w:color w:val="101010"/>
          <w:sz w:val="21"/>
        </w:rPr>
        <w:t>Home Depot's Q1 print this morning came in better than the bears had positioned for. EPS of $3.43 cleared the $3.41 estimate; revenue of $41.77 billion topped $41.52 billion consensus. Comparable sales rose 0.6% globally and 0.4% in the U.S. — the first positive comp number in three quarters. Customer transactions fell 1.3% but average ticket rose 2.3% to $92.76. CFO Richard McPhail told the call that pro-customer demand has 'stabilized' and spring categories are tracking 'in line with plan.' Management reaffirmed full-year guidance of 2.5–4.5% sales growth and flat-to-+2% comps. HD is indicated up 2.4% pre-market. Lowe's (LOW) reports Wednesday before open; the read-through is incrementally positive but not definitive — Lowe's pro mix is half of HD's.</w:t>
      </w:r>
    </w:p>
    <w:p>
      <w:pPr>
        <w:spacing w:before="200" w:after="40"/>
      </w:pPr>
      <w:r>
        <w:rPr>
          <w:b/>
          <w:color w:val="0A1F44"/>
          <w:sz w:val="22"/>
        </w:rPr>
        <w:t>Nvidia Tonight Tomorrow: Pre-Print Positioning at Extremes</w:t>
      </w:r>
    </w:p>
    <w:p>
      <w:pPr>
        <w:spacing w:after="120"/>
      </w:pPr>
      <w:r>
        <w:rPr>
          <w:i w:val="0"/>
          <w:color w:val="101010"/>
          <w:sz w:val="21"/>
        </w:rPr>
        <w:t>Nvidia trades at $229.72 in the pre-market this morning after closing $220.35 yesterday — a 4% lift that is being attributed to fresh sell-side flow defending the position into the Wednesday-after-close print. Implied move from options chains: ±7.4%. Open interest has shifted dramatically over the past 72 hours toward the $240 strike on the call side and the $200 strike on the put side, creating what option desks are calling 'the biggest pin risk we've seen this year.' Cantor moved its PT to $260 this morning (from $220). The number that matters: Q2 FY27 revenue guidance. Below $87B is bad. Above $90B is great. In between is the most likely outcome, which makes the post-print read on operating margins and inventory the swing variable.</w:t>
      </w:r>
    </w:p>
    <w:p>
      <w:pPr>
        <w:spacing w:before="200" w:after="40"/>
      </w:pPr>
      <w:r>
        <w:rPr>
          <w:b/>
          <w:color w:val="0A1F44"/>
          <w:sz w:val="22"/>
        </w:rPr>
        <w:t>Japan GDP Surprises — But Yen Strengthens on Risk-Off Rotation</w:t>
      </w:r>
    </w:p>
    <w:p>
      <w:pPr>
        <w:spacing w:after="120"/>
      </w:pPr>
      <w:r>
        <w:rPr>
          <w:i w:val="0"/>
          <w:color w:val="101010"/>
          <w:sz w:val="21"/>
        </w:rPr>
        <w:t>Japan's Q1 GDP printed +2.1% annualized overnight, comfortably above the +1.7% Reuters consensus and well clear of the prior +1.3% read. The upside surprise complicates the BoJ's messaging — Governor Ueda had spent the past six weeks talking down hike expectations on growth concerns. The yen rallied 75 basis points to 158.20 against the dollar, the strongest level in a month. The move was amplified by general dollar weakness as the Iran-strike cancellation pushed safe-haven flows out of greenbacks and back into euros and yen. Watch USD/JPY 157 as the line where Tokyo would more credibly be able to argue intervention is unwarranted.</w:t>
      </w:r>
    </w:p>
    <w:p>
      <w:pPr>
        <w:spacing w:before="200" w:after="40"/>
      </w:pPr>
      <w:r>
        <w:rPr>
          <w:b/>
          <w:color w:val="0A1F44"/>
          <w:sz w:val="22"/>
        </w:rPr>
        <w:t>RBA Surprises with 25bp Hike — Australia's Inflation Fight Far From Over</w:t>
      </w:r>
    </w:p>
    <w:p>
      <w:pPr>
        <w:spacing w:after="120"/>
      </w:pPr>
      <w:r>
        <w:rPr>
          <w:i w:val="0"/>
          <w:color w:val="101010"/>
          <w:sz w:val="21"/>
        </w:rPr>
        <w:t>The Reserve Bank of Australia raised the cash rate to 4.35% from 4.10% overnight, against a market that had priced 60% probability of a hold. Governor Bullock's statement was hawkish in tone, noting 'persistent services inflation' and 'still-tight labor market conditions.' AUD/USD jumped 0.8% to 0.6618 on the print. The Australia decision is being watched as a potential template for what global central banks may have to do if the Hormuz-driven inflation impulse persists: confront the reality that 'transitory' is unraveling again.</w:t>
      </w:r>
    </w:p>
    <w:p>
      <w:pPr>
        <w:spacing w:before="360" w:after="120"/>
        <w:pBdr>
          <w:bottom w:val="single" w:sz="12" w:color="C9A227"/>
        </w:pBdr>
      </w:pPr>
      <w:r>
        <w:rPr>
          <w:rFonts w:ascii="Calibri" w:hAnsi="Calibri"/>
          <w:b/>
          <w:color w:val="0A1F44"/>
          <w:sz w:val="26"/>
        </w:rPr>
        <w:t>4. MACRO &amp; FED WATCH</w:t>
      </w:r>
    </w:p>
    <w:p>
      <w:pPr>
        <w:spacing w:after="120"/>
      </w:pPr>
      <w:r>
        <w:rPr>
          <w:i w:val="0"/>
          <w:color w:val="101010"/>
          <w:sz w:val="21"/>
        </w:rPr>
        <w:t>The week's marquee macro event remains Thursday's FOMC minutes from the April 28–29 meeting, where the Committee held the policy rate at 3.50–3.75% over a four-way dissent. Markets will be hunting two things in the minutes: first, the actual ideological split — Hammack and Logan reportedly pushed hard for a hike; second, any language change around 'longer-run inflation expectations remain anchored,' the linchpin sentence that has held the long end of the curve together. Powell speaks Wednesday at 9:00 a.m. at the Atlanta Fed conference; expect anything other than a strict reiteration of the April statement to move rates.</w:t>
      </w:r>
    </w:p>
    <w:p>
      <w:pPr>
        <w:spacing w:after="120"/>
      </w:pPr>
      <w:r>
        <w:rPr>
          <w:i w:val="0"/>
          <w:color w:val="101010"/>
          <w:sz w:val="21"/>
        </w:rPr>
        <w:t>Fed funds futures are now pricing 38% probability of a hike by December, up from 12% one month ago. They are pricing 100% probability of a hike by March 2027. Two weeks ago, those numbers were 6% and 84%, respectively. The Iran-strike cancellation softens this trajectory at the margin — overnight, December-hike probability backed off from 42% to 38% — but the structural inflation question hasn't gone away just because Trump postponed an attack.</w:t>
      </w:r>
    </w:p>
    <w:p>
      <w:pPr>
        <w:spacing w:before="360" w:after="120"/>
        <w:pBdr>
          <w:bottom w:val="single" w:sz="12" w:color="C9A227"/>
        </w:pBdr>
      </w:pPr>
      <w:r>
        <w:rPr>
          <w:rFonts w:ascii="Calibri" w:hAnsi="Calibri"/>
          <w:b/>
          <w:color w:val="0A1F44"/>
          <w:sz w:val="26"/>
        </w:rPr>
        <w:t>5. ECONOMIC CALENDAR — REST OF WEEK</w:t>
      </w:r>
    </w:p>
    <w:tbl>
      <w:tblPr>
        <w:tblW w:type="auto" w:w="0"/>
        <w:tblLook w:firstColumn="1" w:firstRow="1" w:lastColumn="0" w:lastRow="0" w:noHBand="0" w:noVBand="1" w:val="04A0"/>
      </w:tblPr>
      <w:tblGrid>
        <w:gridCol w:w="2493"/>
        <w:gridCol w:w="2493"/>
        <w:gridCol w:w="2493"/>
        <w:gridCol w:w="2493"/>
      </w:tblGrid>
      <w:tr>
        <w:tc>
          <w:tcPr>
            <w:tcW w:type="dxa" w:w="2493"/>
            <w:shd w:val="clear" w:color="auto" w:fill="0A1F44"/>
          </w:tcPr>
          <w:p>
            <w:r>
              <w:rPr>
                <w:b/>
                <w:color w:val="FFFFFF"/>
                <w:sz w:val="20"/>
              </w:rPr>
              <w:t>Day</w:t>
            </w:r>
          </w:p>
        </w:tc>
        <w:tc>
          <w:tcPr>
            <w:tcW w:type="dxa" w:w="2493"/>
            <w:shd w:val="clear" w:color="auto" w:fill="0A1F44"/>
          </w:tcPr>
          <w:p>
            <w:r>
              <w:rPr>
                <w:b/>
                <w:color w:val="FFFFFF"/>
                <w:sz w:val="20"/>
              </w:rPr>
              <w:t>Time (ET)</w:t>
            </w:r>
          </w:p>
        </w:tc>
        <w:tc>
          <w:tcPr>
            <w:tcW w:type="dxa" w:w="2493"/>
            <w:shd w:val="clear" w:color="auto" w:fill="0A1F44"/>
          </w:tcPr>
          <w:p>
            <w:r>
              <w:rPr>
                <w:b/>
                <w:color w:val="FFFFFF"/>
                <w:sz w:val="20"/>
              </w:rPr>
              <w:t>Release</w:t>
            </w:r>
          </w:p>
        </w:tc>
        <w:tc>
          <w:tcPr>
            <w:tcW w:type="dxa" w:w="2493"/>
            <w:shd w:val="clear" w:color="auto" w:fill="0A1F44"/>
          </w:tcPr>
          <w:p>
            <w:r>
              <w:rPr>
                <w:b/>
                <w:color w:val="FFFFFF"/>
                <w:sz w:val="20"/>
              </w:rPr>
              <w:t>Consensus</w:t>
            </w:r>
          </w:p>
        </w:tc>
      </w:tr>
      <w:tr>
        <w:tc>
          <w:tcPr>
            <w:tcW w:type="dxa" w:w="2493"/>
            <w:tcBorders>
              <w:top w:val="single" w:sz="4" w:color="BFBFBF"/>
              <w:bottom w:val="single" w:sz="4" w:color="BFBFBF"/>
            </w:tcBorders>
          </w:tcPr>
          <w:p>
            <w:r>
              <w:rPr>
                <w:sz w:val="19"/>
              </w:rPr>
              <w:t>Tue 5/19</w:t>
            </w:r>
          </w:p>
        </w:tc>
        <w:tc>
          <w:tcPr>
            <w:tcW w:type="dxa" w:w="2493"/>
            <w:tcBorders>
              <w:top w:val="single" w:sz="4" w:color="BFBFBF"/>
              <w:bottom w:val="single" w:sz="4" w:color="BFBFBF"/>
            </w:tcBorders>
          </w:tcPr>
          <w:p>
            <w:r>
              <w:rPr>
                <w:sz w:val="19"/>
              </w:rPr>
              <w:t>Before open</w:t>
            </w:r>
          </w:p>
        </w:tc>
        <w:tc>
          <w:tcPr>
            <w:tcW w:type="dxa" w:w="2493"/>
            <w:tcBorders>
              <w:top w:val="single" w:sz="4" w:color="BFBFBF"/>
              <w:bottom w:val="single" w:sz="4" w:color="BFBFBF"/>
            </w:tcBorders>
          </w:tcPr>
          <w:p>
            <w:r>
              <w:rPr>
                <w:sz w:val="19"/>
              </w:rPr>
              <w:t>Home Depot (HD) Q1 — BEAT ✓</w:t>
            </w:r>
          </w:p>
        </w:tc>
        <w:tc>
          <w:tcPr>
            <w:tcW w:type="dxa" w:w="2493"/>
            <w:tcBorders>
              <w:top w:val="single" w:sz="4" w:color="BFBFBF"/>
              <w:bottom w:val="single" w:sz="4" w:color="BFBFBF"/>
            </w:tcBorders>
          </w:tcPr>
          <w:p>
            <w:r>
              <w:rPr>
                <w:sz w:val="19"/>
              </w:rPr>
              <w:t>Actual: $3.43 / $41.77B</w:t>
            </w:r>
          </w:p>
        </w:tc>
      </w:tr>
      <w:tr>
        <w:tc>
          <w:tcPr>
            <w:tcW w:type="dxa" w:w="2493"/>
            <w:shd w:val="clear" w:color="auto" w:fill="F4F1E8"/>
            <w:tcBorders>
              <w:top w:val="single" w:sz="4" w:color="BFBFBF"/>
              <w:bottom w:val="single" w:sz="4" w:color="BFBFBF"/>
            </w:tcBorders>
          </w:tcPr>
          <w:p>
            <w:r>
              <w:rPr>
                <w:sz w:val="19"/>
              </w:rPr>
              <w:t>Tue 5/19</w:t>
            </w:r>
          </w:p>
        </w:tc>
        <w:tc>
          <w:tcPr>
            <w:tcW w:type="dxa" w:w="2493"/>
            <w:shd w:val="clear" w:color="auto" w:fill="F4F1E8"/>
            <w:tcBorders>
              <w:top w:val="single" w:sz="4" w:color="BFBFBF"/>
              <w:bottom w:val="single" w:sz="4" w:color="BFBFBF"/>
            </w:tcBorders>
          </w:tcPr>
          <w:p>
            <w:r>
              <w:rPr>
                <w:sz w:val="19"/>
              </w:rPr>
              <w:t>After close</w:t>
            </w:r>
          </w:p>
        </w:tc>
        <w:tc>
          <w:tcPr>
            <w:tcW w:type="dxa" w:w="2493"/>
            <w:shd w:val="clear" w:color="auto" w:fill="F4F1E8"/>
            <w:tcBorders>
              <w:top w:val="single" w:sz="4" w:color="BFBFBF"/>
              <w:bottom w:val="single" w:sz="4" w:color="BFBFBF"/>
            </w:tcBorders>
          </w:tcPr>
          <w:p>
            <w:r>
              <w:rPr>
                <w:sz w:val="19"/>
              </w:rPr>
              <w:t>Palo Alto Networks (PANW) Q3</w:t>
            </w:r>
          </w:p>
        </w:tc>
        <w:tc>
          <w:tcPr>
            <w:tcW w:type="dxa" w:w="2493"/>
            <w:shd w:val="clear" w:color="auto" w:fill="F4F1E8"/>
            <w:tcBorders>
              <w:top w:val="single" w:sz="4" w:color="BFBFBF"/>
              <w:bottom w:val="single" w:sz="4" w:color="BFBFBF"/>
            </w:tcBorders>
          </w:tcPr>
          <w:p>
            <w:r>
              <w:rPr>
                <w:sz w:val="19"/>
              </w:rPr>
              <w:t>EPS $0.98 / Rev $2.40B</w:t>
            </w:r>
          </w:p>
        </w:tc>
      </w:tr>
      <w:tr>
        <w:tc>
          <w:tcPr>
            <w:tcW w:type="dxa" w:w="2493"/>
            <w:tcBorders>
              <w:top w:val="single" w:sz="4" w:color="BFBFBF"/>
              <w:bottom w:val="single" w:sz="4" w:color="BFBFBF"/>
            </w:tcBorders>
          </w:tcPr>
          <w:p>
            <w:r>
              <w:rPr>
                <w:sz w:val="19"/>
              </w:rPr>
              <w:t>Wed 5/20</w:t>
            </w:r>
          </w:p>
        </w:tc>
        <w:tc>
          <w:tcPr>
            <w:tcW w:type="dxa" w:w="2493"/>
            <w:tcBorders>
              <w:top w:val="single" w:sz="4" w:color="BFBFBF"/>
              <w:bottom w:val="single" w:sz="4" w:color="BFBFBF"/>
            </w:tcBorders>
          </w:tcPr>
          <w:p>
            <w:r>
              <w:rPr>
                <w:sz w:val="19"/>
              </w:rPr>
              <w:t>Before open</w:t>
            </w:r>
          </w:p>
        </w:tc>
        <w:tc>
          <w:tcPr>
            <w:tcW w:type="dxa" w:w="2493"/>
            <w:tcBorders>
              <w:top w:val="single" w:sz="4" w:color="BFBFBF"/>
              <w:bottom w:val="single" w:sz="4" w:color="BFBFBF"/>
            </w:tcBorders>
          </w:tcPr>
          <w:p>
            <w:r>
              <w:rPr>
                <w:sz w:val="19"/>
              </w:rPr>
              <w:t>Lowe's (LOW), Target (TGT)</w:t>
            </w:r>
          </w:p>
        </w:tc>
        <w:tc>
          <w:tcPr>
            <w:tcW w:type="dxa" w:w="2493"/>
            <w:tcBorders>
              <w:top w:val="single" w:sz="4" w:color="BFBFBF"/>
              <w:bottom w:val="single" w:sz="4" w:color="BFBFBF"/>
            </w:tcBorders>
          </w:tcPr>
          <w:p>
            <w:r>
              <w:rPr>
                <w:sz w:val="19"/>
              </w:rPr>
              <w:t>—</w:t>
            </w:r>
          </w:p>
        </w:tc>
      </w:tr>
      <w:tr>
        <w:tc>
          <w:tcPr>
            <w:tcW w:type="dxa" w:w="2493"/>
            <w:shd w:val="clear" w:color="auto" w:fill="F4F1E8"/>
            <w:tcBorders>
              <w:top w:val="single" w:sz="4" w:color="BFBFBF"/>
              <w:bottom w:val="single" w:sz="4" w:color="BFBFBF"/>
            </w:tcBorders>
          </w:tcPr>
          <w:p>
            <w:r>
              <w:rPr>
                <w:sz w:val="19"/>
              </w:rPr>
              <w:t>Wed 5/20</w:t>
            </w:r>
          </w:p>
        </w:tc>
        <w:tc>
          <w:tcPr>
            <w:tcW w:type="dxa" w:w="2493"/>
            <w:shd w:val="clear" w:color="auto" w:fill="F4F1E8"/>
            <w:tcBorders>
              <w:top w:val="single" w:sz="4" w:color="BFBFBF"/>
              <w:bottom w:val="single" w:sz="4" w:color="BFBFBF"/>
            </w:tcBorders>
          </w:tcPr>
          <w:p>
            <w:r>
              <w:rPr>
                <w:sz w:val="19"/>
              </w:rPr>
              <w:t>8:30 AM</w:t>
            </w:r>
          </w:p>
        </w:tc>
        <w:tc>
          <w:tcPr>
            <w:tcW w:type="dxa" w:w="2493"/>
            <w:shd w:val="clear" w:color="auto" w:fill="F4F1E8"/>
            <w:tcBorders>
              <w:top w:val="single" w:sz="4" w:color="BFBFBF"/>
              <w:bottom w:val="single" w:sz="4" w:color="BFBFBF"/>
            </w:tcBorders>
          </w:tcPr>
          <w:p>
            <w:r>
              <w:rPr>
                <w:sz w:val="19"/>
              </w:rPr>
              <w:t>Building Permits / Housing Starts (Apr)</w:t>
            </w:r>
          </w:p>
        </w:tc>
        <w:tc>
          <w:tcPr>
            <w:tcW w:type="dxa" w:w="2493"/>
            <w:shd w:val="clear" w:color="auto" w:fill="F4F1E8"/>
            <w:tcBorders>
              <w:top w:val="single" w:sz="4" w:color="BFBFBF"/>
              <w:bottom w:val="single" w:sz="4" w:color="BFBFBF"/>
            </w:tcBorders>
          </w:tcPr>
          <w:p>
            <w:r>
              <w:rPr>
                <w:sz w:val="19"/>
              </w:rPr>
              <w:t>1.44M / 1.36M</w:t>
            </w:r>
          </w:p>
        </w:tc>
      </w:tr>
      <w:tr>
        <w:tc>
          <w:tcPr>
            <w:tcW w:type="dxa" w:w="2493"/>
            <w:tcBorders>
              <w:top w:val="single" w:sz="4" w:color="BFBFBF"/>
              <w:bottom w:val="single" w:sz="4" w:color="BFBFBF"/>
            </w:tcBorders>
          </w:tcPr>
          <w:p>
            <w:r>
              <w:rPr>
                <w:sz w:val="19"/>
              </w:rPr>
              <w:t>Wed 5/20</w:t>
            </w:r>
          </w:p>
        </w:tc>
        <w:tc>
          <w:tcPr>
            <w:tcW w:type="dxa" w:w="2493"/>
            <w:tcBorders>
              <w:top w:val="single" w:sz="4" w:color="BFBFBF"/>
              <w:bottom w:val="single" w:sz="4" w:color="BFBFBF"/>
            </w:tcBorders>
          </w:tcPr>
          <w:p>
            <w:r>
              <w:rPr>
                <w:sz w:val="19"/>
              </w:rPr>
              <w:t>9:00 AM</w:t>
            </w:r>
          </w:p>
        </w:tc>
        <w:tc>
          <w:tcPr>
            <w:tcW w:type="dxa" w:w="2493"/>
            <w:tcBorders>
              <w:top w:val="single" w:sz="4" w:color="BFBFBF"/>
              <w:bottom w:val="single" w:sz="4" w:color="BFBFBF"/>
            </w:tcBorders>
          </w:tcPr>
          <w:p>
            <w:r>
              <w:rPr>
                <w:sz w:val="19"/>
              </w:rPr>
              <w:t>Powell remarks — Atlanta Fed</w:t>
            </w:r>
          </w:p>
        </w:tc>
        <w:tc>
          <w:tcPr>
            <w:tcW w:type="dxa" w:w="2493"/>
            <w:tcBorders>
              <w:top w:val="single" w:sz="4" w:color="BFBFBF"/>
              <w:bottom w:val="single" w:sz="4" w:color="BFBFBF"/>
            </w:tcBorders>
          </w:tcPr>
          <w:p>
            <w:r>
              <w:rPr>
                <w:sz w:val="19"/>
              </w:rPr>
              <w:t>—</w:t>
            </w:r>
          </w:p>
        </w:tc>
      </w:tr>
      <w:tr>
        <w:tc>
          <w:tcPr>
            <w:tcW w:type="dxa" w:w="2493"/>
            <w:shd w:val="clear" w:color="auto" w:fill="F4F1E8"/>
            <w:tcBorders>
              <w:top w:val="single" w:sz="4" w:color="BFBFBF"/>
              <w:bottom w:val="single" w:sz="4" w:color="BFBFBF"/>
            </w:tcBorders>
          </w:tcPr>
          <w:p>
            <w:r>
              <w:rPr>
                <w:sz w:val="19"/>
              </w:rPr>
              <w:t>Wed 5/20</w:t>
            </w:r>
          </w:p>
        </w:tc>
        <w:tc>
          <w:tcPr>
            <w:tcW w:type="dxa" w:w="2493"/>
            <w:shd w:val="clear" w:color="auto" w:fill="F4F1E8"/>
            <w:tcBorders>
              <w:top w:val="single" w:sz="4" w:color="BFBFBF"/>
              <w:bottom w:val="single" w:sz="4" w:color="BFBFBF"/>
            </w:tcBorders>
          </w:tcPr>
          <w:p>
            <w:r>
              <w:rPr>
                <w:sz w:val="19"/>
              </w:rPr>
              <w:t>1:00 PM</w:t>
            </w:r>
          </w:p>
        </w:tc>
        <w:tc>
          <w:tcPr>
            <w:tcW w:type="dxa" w:w="2493"/>
            <w:shd w:val="clear" w:color="auto" w:fill="F4F1E8"/>
            <w:tcBorders>
              <w:top w:val="single" w:sz="4" w:color="BFBFBF"/>
              <w:bottom w:val="single" w:sz="4" w:color="BFBFBF"/>
            </w:tcBorders>
          </w:tcPr>
          <w:p>
            <w:r>
              <w:rPr>
                <w:sz w:val="19"/>
              </w:rPr>
              <w:t>20-Yr Treasury auction ($16B)</w:t>
            </w:r>
          </w:p>
        </w:tc>
        <w:tc>
          <w:tcPr>
            <w:tcW w:type="dxa" w:w="2493"/>
            <w:shd w:val="clear" w:color="auto" w:fill="F4F1E8"/>
            <w:tcBorders>
              <w:top w:val="single" w:sz="4" w:color="BFBFBF"/>
              <w:bottom w:val="single" w:sz="4" w:color="BFBFBF"/>
            </w:tcBorders>
          </w:tcPr>
          <w:p>
            <w:r>
              <w:rPr>
                <w:sz w:val="19"/>
              </w:rPr>
              <w:t>—</w:t>
            </w:r>
          </w:p>
        </w:tc>
      </w:tr>
      <w:tr>
        <w:tc>
          <w:tcPr>
            <w:tcW w:type="dxa" w:w="2493"/>
            <w:tcBorders>
              <w:top w:val="single" w:sz="4" w:color="BFBFBF"/>
              <w:bottom w:val="single" w:sz="4" w:color="BFBFBF"/>
            </w:tcBorders>
          </w:tcPr>
          <w:p>
            <w:r>
              <w:rPr>
                <w:sz w:val="19"/>
              </w:rPr>
              <w:t>Wed 5/20</w:t>
            </w:r>
          </w:p>
        </w:tc>
        <w:tc>
          <w:tcPr>
            <w:tcW w:type="dxa" w:w="2493"/>
            <w:tcBorders>
              <w:top w:val="single" w:sz="4" w:color="BFBFBF"/>
              <w:bottom w:val="single" w:sz="4" w:color="BFBFBF"/>
            </w:tcBorders>
          </w:tcPr>
          <w:p>
            <w:r>
              <w:rPr>
                <w:sz w:val="19"/>
              </w:rPr>
              <w:t>After close</w:t>
            </w:r>
          </w:p>
        </w:tc>
        <w:tc>
          <w:tcPr>
            <w:tcW w:type="dxa" w:w="2493"/>
            <w:tcBorders>
              <w:top w:val="single" w:sz="4" w:color="BFBFBF"/>
              <w:bottom w:val="single" w:sz="4" w:color="BFBFBF"/>
            </w:tcBorders>
          </w:tcPr>
          <w:p>
            <w:r>
              <w:rPr>
                <w:sz w:val="19"/>
              </w:rPr>
              <w:t>Nvidia (NVDA) Q1 FY27</w:t>
            </w:r>
          </w:p>
        </w:tc>
        <w:tc>
          <w:tcPr>
            <w:tcW w:type="dxa" w:w="2493"/>
            <w:tcBorders>
              <w:top w:val="single" w:sz="4" w:color="BFBFBF"/>
              <w:bottom w:val="single" w:sz="4" w:color="BFBFBF"/>
            </w:tcBorders>
          </w:tcPr>
          <w:p>
            <w:r>
              <w:rPr>
                <w:sz w:val="19"/>
              </w:rPr>
              <w:t>EPS $1.77 / Rev $78.0B</w:t>
            </w:r>
          </w:p>
        </w:tc>
      </w:tr>
      <w:tr>
        <w:tc>
          <w:tcPr>
            <w:tcW w:type="dxa" w:w="2493"/>
            <w:shd w:val="clear" w:color="auto" w:fill="F4F1E8"/>
            <w:tcBorders>
              <w:top w:val="single" w:sz="4" w:color="BFBFBF"/>
              <w:bottom w:val="single" w:sz="4" w:color="BFBFBF"/>
            </w:tcBorders>
          </w:tcPr>
          <w:p>
            <w:r>
              <w:rPr>
                <w:sz w:val="19"/>
              </w:rPr>
              <w:t>Thu 5/21</w:t>
            </w:r>
          </w:p>
        </w:tc>
        <w:tc>
          <w:tcPr>
            <w:tcW w:type="dxa" w:w="2493"/>
            <w:shd w:val="clear" w:color="auto" w:fill="F4F1E8"/>
            <w:tcBorders>
              <w:top w:val="single" w:sz="4" w:color="BFBFBF"/>
              <w:bottom w:val="single" w:sz="4" w:color="BFBFBF"/>
            </w:tcBorders>
          </w:tcPr>
          <w:p>
            <w:r>
              <w:rPr>
                <w:sz w:val="19"/>
              </w:rPr>
              <w:t>8:30 AM</w:t>
            </w:r>
          </w:p>
        </w:tc>
        <w:tc>
          <w:tcPr>
            <w:tcW w:type="dxa" w:w="2493"/>
            <w:shd w:val="clear" w:color="auto" w:fill="F4F1E8"/>
            <w:tcBorders>
              <w:top w:val="single" w:sz="4" w:color="BFBFBF"/>
              <w:bottom w:val="single" w:sz="4" w:color="BFBFBF"/>
            </w:tcBorders>
          </w:tcPr>
          <w:p>
            <w:r>
              <w:rPr>
                <w:sz w:val="19"/>
              </w:rPr>
              <w:t>Initial Jobless Claims</w:t>
            </w:r>
          </w:p>
        </w:tc>
        <w:tc>
          <w:tcPr>
            <w:tcW w:type="dxa" w:w="2493"/>
            <w:shd w:val="clear" w:color="auto" w:fill="F4F1E8"/>
            <w:tcBorders>
              <w:top w:val="single" w:sz="4" w:color="BFBFBF"/>
              <w:bottom w:val="single" w:sz="4" w:color="BFBFBF"/>
            </w:tcBorders>
          </w:tcPr>
          <w:p>
            <w:r>
              <w:rPr>
                <w:sz w:val="19"/>
              </w:rPr>
              <w:t>228K</w:t>
            </w:r>
          </w:p>
        </w:tc>
      </w:tr>
      <w:tr>
        <w:tc>
          <w:tcPr>
            <w:tcW w:type="dxa" w:w="2493"/>
            <w:tcBorders>
              <w:top w:val="single" w:sz="4" w:color="BFBFBF"/>
              <w:bottom w:val="single" w:sz="4" w:color="BFBFBF"/>
            </w:tcBorders>
          </w:tcPr>
          <w:p>
            <w:r>
              <w:rPr>
                <w:sz w:val="19"/>
              </w:rPr>
              <w:t>Thu 5/21</w:t>
            </w:r>
          </w:p>
        </w:tc>
        <w:tc>
          <w:tcPr>
            <w:tcW w:type="dxa" w:w="2493"/>
            <w:tcBorders>
              <w:top w:val="single" w:sz="4" w:color="BFBFBF"/>
              <w:bottom w:val="single" w:sz="4" w:color="BFBFBF"/>
            </w:tcBorders>
          </w:tcPr>
          <w:p>
            <w:r>
              <w:rPr>
                <w:sz w:val="19"/>
              </w:rPr>
              <w:t>8:30 AM</w:t>
            </w:r>
          </w:p>
        </w:tc>
        <w:tc>
          <w:tcPr>
            <w:tcW w:type="dxa" w:w="2493"/>
            <w:tcBorders>
              <w:top w:val="single" w:sz="4" w:color="BFBFBF"/>
              <w:bottom w:val="single" w:sz="4" w:color="BFBFBF"/>
            </w:tcBorders>
          </w:tcPr>
          <w:p>
            <w:r>
              <w:rPr>
                <w:sz w:val="19"/>
              </w:rPr>
              <w:t>Philly Fed Mfg. (May)</w:t>
            </w:r>
          </w:p>
        </w:tc>
        <w:tc>
          <w:tcPr>
            <w:tcW w:type="dxa" w:w="2493"/>
            <w:tcBorders>
              <w:top w:val="single" w:sz="4" w:color="BFBFBF"/>
              <w:bottom w:val="single" w:sz="4" w:color="BFBFBF"/>
            </w:tcBorders>
          </w:tcPr>
          <w:p>
            <w:r>
              <w:rPr>
                <w:sz w:val="19"/>
              </w:rPr>
              <w:t>-2.0</w:t>
            </w:r>
          </w:p>
        </w:tc>
      </w:tr>
      <w:tr>
        <w:tc>
          <w:tcPr>
            <w:tcW w:type="dxa" w:w="2493"/>
            <w:shd w:val="clear" w:color="auto" w:fill="F4F1E8"/>
            <w:tcBorders>
              <w:top w:val="single" w:sz="4" w:color="BFBFBF"/>
              <w:bottom w:val="single" w:sz="4" w:color="BFBFBF"/>
            </w:tcBorders>
          </w:tcPr>
          <w:p>
            <w:r>
              <w:rPr>
                <w:sz w:val="19"/>
              </w:rPr>
              <w:t>Thu 5/21</w:t>
            </w:r>
          </w:p>
        </w:tc>
        <w:tc>
          <w:tcPr>
            <w:tcW w:type="dxa" w:w="2493"/>
            <w:shd w:val="clear" w:color="auto" w:fill="F4F1E8"/>
            <w:tcBorders>
              <w:top w:val="single" w:sz="4" w:color="BFBFBF"/>
              <w:bottom w:val="single" w:sz="4" w:color="BFBFBF"/>
            </w:tcBorders>
          </w:tcPr>
          <w:p>
            <w:r>
              <w:rPr>
                <w:sz w:val="19"/>
              </w:rPr>
              <w:t>Before open</w:t>
            </w:r>
          </w:p>
        </w:tc>
        <w:tc>
          <w:tcPr>
            <w:tcW w:type="dxa" w:w="2493"/>
            <w:shd w:val="clear" w:color="auto" w:fill="F4F1E8"/>
            <w:tcBorders>
              <w:top w:val="single" w:sz="4" w:color="BFBFBF"/>
              <w:bottom w:val="single" w:sz="4" w:color="BFBFBF"/>
            </w:tcBorders>
          </w:tcPr>
          <w:p>
            <w:r>
              <w:rPr>
                <w:sz w:val="19"/>
              </w:rPr>
              <w:t>Walmart (WMT) Q1</w:t>
            </w:r>
          </w:p>
        </w:tc>
        <w:tc>
          <w:tcPr>
            <w:tcW w:type="dxa" w:w="2493"/>
            <w:shd w:val="clear" w:color="auto" w:fill="F4F1E8"/>
            <w:tcBorders>
              <w:top w:val="single" w:sz="4" w:color="BFBFBF"/>
              <w:bottom w:val="single" w:sz="4" w:color="BFBFBF"/>
            </w:tcBorders>
          </w:tcPr>
          <w:p>
            <w:r>
              <w:rPr>
                <w:sz w:val="19"/>
              </w:rPr>
              <w:t>EPS $0.66 / Rev $171B</w:t>
            </w:r>
          </w:p>
        </w:tc>
      </w:tr>
      <w:tr>
        <w:tc>
          <w:tcPr>
            <w:tcW w:type="dxa" w:w="2493"/>
            <w:tcBorders>
              <w:top w:val="single" w:sz="4" w:color="BFBFBF"/>
              <w:bottom w:val="single" w:sz="4" w:color="BFBFBF"/>
            </w:tcBorders>
          </w:tcPr>
          <w:p>
            <w:r>
              <w:rPr>
                <w:sz w:val="19"/>
              </w:rPr>
              <w:t>Thu 5/21</w:t>
            </w:r>
          </w:p>
        </w:tc>
        <w:tc>
          <w:tcPr>
            <w:tcW w:type="dxa" w:w="2493"/>
            <w:tcBorders>
              <w:top w:val="single" w:sz="4" w:color="BFBFBF"/>
              <w:bottom w:val="single" w:sz="4" w:color="BFBFBF"/>
            </w:tcBorders>
          </w:tcPr>
          <w:p>
            <w:r>
              <w:rPr>
                <w:sz w:val="19"/>
              </w:rPr>
              <w:t>10:00 AM</w:t>
            </w:r>
          </w:p>
        </w:tc>
        <w:tc>
          <w:tcPr>
            <w:tcW w:type="dxa" w:w="2493"/>
            <w:tcBorders>
              <w:top w:val="single" w:sz="4" w:color="BFBFBF"/>
              <w:bottom w:val="single" w:sz="4" w:color="BFBFBF"/>
            </w:tcBorders>
          </w:tcPr>
          <w:p>
            <w:r>
              <w:rPr>
                <w:sz w:val="19"/>
              </w:rPr>
              <w:t>Existing Home Sales (Apr)</w:t>
            </w:r>
          </w:p>
        </w:tc>
        <w:tc>
          <w:tcPr>
            <w:tcW w:type="dxa" w:w="2493"/>
            <w:tcBorders>
              <w:top w:val="single" w:sz="4" w:color="BFBFBF"/>
              <w:bottom w:val="single" w:sz="4" w:color="BFBFBF"/>
            </w:tcBorders>
          </w:tcPr>
          <w:p>
            <w:r>
              <w:rPr>
                <w:sz w:val="19"/>
              </w:rPr>
              <w:t>4.10M</w:t>
            </w:r>
          </w:p>
        </w:tc>
      </w:tr>
      <w:tr>
        <w:tc>
          <w:tcPr>
            <w:tcW w:type="dxa" w:w="2493"/>
            <w:shd w:val="clear" w:color="auto" w:fill="F4F1E8"/>
            <w:tcBorders>
              <w:top w:val="single" w:sz="4" w:color="BFBFBF"/>
              <w:bottom w:val="single" w:sz="4" w:color="BFBFBF"/>
            </w:tcBorders>
          </w:tcPr>
          <w:p>
            <w:r>
              <w:rPr>
                <w:sz w:val="19"/>
              </w:rPr>
              <w:t>Thu 5/21</w:t>
            </w:r>
          </w:p>
        </w:tc>
        <w:tc>
          <w:tcPr>
            <w:tcW w:type="dxa" w:w="2493"/>
            <w:shd w:val="clear" w:color="auto" w:fill="F4F1E8"/>
            <w:tcBorders>
              <w:top w:val="single" w:sz="4" w:color="BFBFBF"/>
              <w:bottom w:val="single" w:sz="4" w:color="BFBFBF"/>
            </w:tcBorders>
          </w:tcPr>
          <w:p>
            <w:r>
              <w:rPr>
                <w:sz w:val="19"/>
              </w:rPr>
              <w:t>2:00 PM</w:t>
            </w:r>
          </w:p>
        </w:tc>
        <w:tc>
          <w:tcPr>
            <w:tcW w:type="dxa" w:w="2493"/>
            <w:shd w:val="clear" w:color="auto" w:fill="F4F1E8"/>
            <w:tcBorders>
              <w:top w:val="single" w:sz="4" w:color="BFBFBF"/>
              <w:bottom w:val="single" w:sz="4" w:color="BFBFBF"/>
            </w:tcBorders>
          </w:tcPr>
          <w:p>
            <w:r>
              <w:rPr>
                <w:sz w:val="19"/>
              </w:rPr>
              <w:t>FOMC Minutes (Apr 28–29)</w:t>
            </w:r>
          </w:p>
        </w:tc>
        <w:tc>
          <w:tcPr>
            <w:tcW w:type="dxa" w:w="2493"/>
            <w:shd w:val="clear" w:color="auto" w:fill="F4F1E8"/>
            <w:tcBorders>
              <w:top w:val="single" w:sz="4" w:color="BFBFBF"/>
              <w:bottom w:val="single" w:sz="4" w:color="BFBFBF"/>
            </w:tcBorders>
          </w:tcPr>
          <w:p>
            <w:r>
              <w:rPr>
                <w:sz w:val="19"/>
              </w:rPr>
              <w:t>—</w:t>
            </w:r>
          </w:p>
        </w:tc>
      </w:tr>
      <w:tr>
        <w:tc>
          <w:tcPr>
            <w:tcW w:type="dxa" w:w="2493"/>
            <w:tcBorders>
              <w:top w:val="single" w:sz="4" w:color="BFBFBF"/>
              <w:bottom w:val="single" w:sz="4" w:color="BFBFBF"/>
            </w:tcBorders>
          </w:tcPr>
          <w:p>
            <w:r>
              <w:rPr>
                <w:sz w:val="19"/>
              </w:rPr>
              <w:t>Fri 5/22</w:t>
            </w:r>
          </w:p>
        </w:tc>
        <w:tc>
          <w:tcPr>
            <w:tcW w:type="dxa" w:w="2493"/>
            <w:tcBorders>
              <w:top w:val="single" w:sz="4" w:color="BFBFBF"/>
              <w:bottom w:val="single" w:sz="4" w:color="BFBFBF"/>
            </w:tcBorders>
          </w:tcPr>
          <w:p>
            <w:r>
              <w:rPr>
                <w:sz w:val="19"/>
              </w:rPr>
              <w:t>9:45 AM</w:t>
            </w:r>
          </w:p>
        </w:tc>
        <w:tc>
          <w:tcPr>
            <w:tcW w:type="dxa" w:w="2493"/>
            <w:tcBorders>
              <w:top w:val="single" w:sz="4" w:color="BFBFBF"/>
              <w:bottom w:val="single" w:sz="4" w:color="BFBFBF"/>
            </w:tcBorders>
          </w:tcPr>
          <w:p>
            <w:r>
              <w:rPr>
                <w:sz w:val="19"/>
              </w:rPr>
              <w:t>S&amp;P Global Flash PMIs (May)</w:t>
            </w:r>
          </w:p>
        </w:tc>
        <w:tc>
          <w:tcPr>
            <w:tcW w:type="dxa" w:w="2493"/>
            <w:tcBorders>
              <w:top w:val="single" w:sz="4" w:color="BFBFBF"/>
              <w:bottom w:val="single" w:sz="4" w:color="BFBFBF"/>
            </w:tcBorders>
          </w:tcPr>
          <w:p>
            <w:r>
              <w:rPr>
                <w:sz w:val="19"/>
              </w:rPr>
              <w:t>Mfg 49.2 / Svc 51.3</w:t>
            </w:r>
          </w:p>
        </w:tc>
      </w:tr>
    </w:tbl>
    <w:p>
      <w:pPr>
        <w:spacing w:before="360" w:after="120"/>
        <w:pBdr>
          <w:bottom w:val="single" w:sz="12" w:color="C9A227"/>
        </w:pBdr>
      </w:pPr>
      <w:r>
        <w:rPr>
          <w:rFonts w:ascii="Calibri" w:hAnsi="Calibri"/>
          <w:b/>
          <w:color w:val="0A1F44"/>
          <w:sz w:val="26"/>
        </w:rPr>
        <w:t>6. EARNINGS WATCH</w:t>
      </w:r>
    </w:p>
    <w:p>
      <w:pPr>
        <w:spacing w:after="120"/>
      </w:pPr>
      <w:r>
        <w:rPr>
          <w:i w:val="0"/>
          <w:color w:val="101010"/>
          <w:sz w:val="21"/>
        </w:rPr>
        <w:t>Home Depot's morning beat sets a constructive tone for the consumer cohort reporting this week. The big read-through: rate-sensitive durables demand is bending but not breaking. Average ticket up 2.3% suggests some pricing power; transactions down 1.3% says the elasticity is real. For Lowe's tomorrow morning, the bar just got slightly higher — Street consensus of -1.5% comps now looks beatable. For Target Wednesday before open, the bar remains very low given the −22% YTD share-price performance; a clean print plus stable guidance is the setup for a 6–8% relief rally. Palo Alto Networks reports after close tonight; consensus is $0.98 / $2.40B. The bigger question for PANW is the NGS billings update — investors want to see deceleration arrest after two consecutive quarters of disappointment.</w:t>
      </w:r>
    </w:p>
    <w:p>
      <w:pPr>
        <w:spacing w:after="120"/>
      </w:pPr>
      <w:r>
        <w:rPr>
          <w:i w:val="0"/>
          <w:color w:val="101010"/>
          <w:sz w:val="21"/>
        </w:rPr>
        <w:t>Walmart Thursday is the marquee retail print of the week. Consensus is $0.66 / $171B. The ex-fuel U.S. comp consensus is +3.86%. Watch the e-commerce / advertising revenue split: WMT's Connect ad business is now running at a $4B annualized clip and is the most defensible narrative for further multiple expansion. Approximately 94% of the S&amp;P 500 has now reported Q1; blended growth sits at +11.4% with 76% beating EPS estimates.</w:t>
      </w:r>
    </w:p>
    <w:p>
      <w:pPr>
        <w:spacing w:before="360" w:after="120"/>
        <w:pBdr>
          <w:bottom w:val="single" w:sz="12" w:color="C9A227"/>
        </w:pBdr>
      </w:pPr>
      <w:r>
        <w:rPr>
          <w:rFonts w:ascii="Calibri" w:hAnsi="Calibri"/>
          <w:b/>
          <w:color w:val="0A1F44"/>
          <w:sz w:val="26"/>
        </w:rPr>
        <w:t>7. SECTOR SPOTLIGHT: DEFENSIVES VS. CYCLICALS</w:t>
      </w:r>
    </w:p>
    <w:p>
      <w:pPr>
        <w:spacing w:after="120"/>
      </w:pPr>
      <w:r>
        <w:rPr>
          <w:i w:val="0"/>
          <w:color w:val="101010"/>
          <w:sz w:val="21"/>
        </w:rPr>
        <w:t>Yesterday's tape was a small but instructive preview. With the Dow up 32 bps and the Nasdaq down 51, the relative-performance gap between defensives (utilities, staples, healthcare) and growth (megacap tech, semis, software) was the widest one-day spread since the August 2024 carry-trade unwind. Year-to-date, utilities are +14%, staples +9%, healthcare +7%, while the Nasdaq 100 is flat on the year. This rotation pattern is consistent with what we'd expect in a 'higher-rates plus geopolitical stress' regime — but it has happened with remarkably little broader-market drama, which is itself notable.</w:t>
      </w:r>
    </w:p>
    <w:p>
      <w:pPr>
        <w:spacing w:after="120"/>
      </w:pPr>
      <w:r>
        <w:rPr>
          <w:i w:val="0"/>
          <w:color w:val="101010"/>
          <w:sz w:val="21"/>
        </w:rPr>
        <w:t>Within energy, the Iran-strike cancellation is going to create a sorting exercise this morning. The cleanest sells are the second-derivative beneficiaries (tankers, LNG) that have priced in maximal Hormuz disruption. The cleanest holds are the integrated majors (XOM, CVX) whose free-cash-flow stories don't depend on $110 Brent. The cleanest buys, if the de-escalation proves head-fake, are the same pure-play E&amp;Ps that are giving back 4% this morning.</w:t>
      </w:r>
    </w:p>
    <w:p>
      <w:pPr>
        <w:spacing w:before="360" w:after="120"/>
        <w:pBdr>
          <w:bottom w:val="single" w:sz="12" w:color="C9A227"/>
        </w:pBdr>
      </w:pPr>
      <w:r>
        <w:rPr>
          <w:rFonts w:ascii="Calibri" w:hAnsi="Calibri"/>
          <w:b/>
          <w:color w:val="0A1F44"/>
          <w:sz w:val="26"/>
        </w:rPr>
        <w:t>8. ANALYST CALLS DRIVING ACTION</w:t>
      </w:r>
    </w:p>
    <w:p>
      <w:pPr>
        <w:spacing w:after="120"/>
      </w:pPr>
      <w:r>
        <w:rPr>
          <w:i w:val="0"/>
          <w:color w:val="101010"/>
          <w:sz w:val="21"/>
        </w:rPr>
        <w:t>Notable upgrades / target hikes: Cantor lifted Nvidia (NVDA) PT to $260 from $220 ahead of tomorrow's print, citing 'Hyperscaler capex commitments are tracking ahead of our model.' Citi upgraded Home Depot (HD) to Buy with a $385 PT post-earnings (from Neutral / $340). JPMorgan raised Costco (COST) to Overweight, citing 'membership pricing power that the market continues to underestimate.' Wells Fargo upgraded ConocoPhillips (COP) to Overweight with a $145 PT on Permian capital discipline.</w:t>
      </w:r>
    </w:p>
    <w:p>
      <w:pPr>
        <w:spacing w:after="120"/>
      </w:pPr>
      <w:r>
        <w:rPr>
          <w:i w:val="0"/>
          <w:color w:val="101010"/>
          <w:sz w:val="21"/>
        </w:rPr>
        <w:t>Notable downgrades / target cuts: HSBC was hit with multiple PT cuts (UBS, Barclays, JPM) after its Q1 results disappointed on net interest margin compression. Wedbush cut Tesla (TSLA) PT to $290 from $340, maintaining Neutral. Morgan Stanley moved Lululemon (LULU) to Equal-Weight from Overweight on China weakness. Goldman trimmed Apple (AAPL) PT to $235 from $250 on India tariff uncertainty.</w:t>
      </w:r>
    </w:p>
    <w:p>
      <w:pPr>
        <w:spacing w:before="360" w:after="120"/>
        <w:pBdr>
          <w:bottom w:val="single" w:sz="12" w:color="C9A227"/>
        </w:pBdr>
      </w:pPr>
      <w:r>
        <w:rPr>
          <w:rFonts w:ascii="Calibri" w:hAnsi="Calibri"/>
          <w:b/>
          <w:color w:val="0A1F44"/>
          <w:sz w:val="26"/>
        </w:rPr>
        <w:t>9. STOCKS TO WATCH</w:t>
      </w:r>
    </w:p>
    <w:p>
      <w:pPr>
        <w:spacing w:after="120"/>
      </w:pPr>
      <w:r>
        <w:rPr>
          <w:i w:val="0"/>
          <w:color w:val="101010"/>
          <w:sz w:val="21"/>
        </w:rPr>
        <w:t>Nvidia (NVDA) — Pre-market $229.72 vs. yesterday's close of $220.35. The setup matters more than the level: option pin risk is concentrated at $240 (calls) and $200 (puts). Earnings tomorrow after close.</w:t>
      </w:r>
    </w:p>
    <w:p>
      <w:pPr>
        <w:spacing w:after="120"/>
      </w:pPr>
      <w:r>
        <w:rPr>
          <w:i w:val="0"/>
          <w:color w:val="101010"/>
          <w:sz w:val="21"/>
        </w:rPr>
        <w:t>Home Depot (HD) — Up 2.4% pre-market on the beat. Watch the $345 resistance from late April; a clean break opens room to $360.</w:t>
      </w:r>
    </w:p>
    <w:p>
      <w:pPr>
        <w:spacing w:after="120"/>
      </w:pPr>
      <w:r>
        <w:rPr>
          <w:i w:val="0"/>
          <w:color w:val="101010"/>
          <w:sz w:val="21"/>
        </w:rPr>
        <w:t>ExxonMobil (XOM) / Chevron (CVX) — Both giving back 1.5–2% on the oil pullback but holding the 50-day MA. These are the cleanest defensives in the energy complex if Hormuz tension reignites.</w:t>
      </w:r>
    </w:p>
    <w:p>
      <w:pPr>
        <w:spacing w:after="120"/>
      </w:pPr>
      <w:r>
        <w:rPr>
          <w:i w:val="0"/>
          <w:color w:val="101010"/>
          <w:sz w:val="21"/>
        </w:rPr>
        <w:t>Diamondback Energy (FANG) / EOG — Off 4% pre-market on the de-escalation trade. Watch for stabilization at the 200-day MA; below that and the next bid is air.</w:t>
      </w:r>
    </w:p>
    <w:p>
      <w:pPr>
        <w:spacing w:after="120"/>
      </w:pPr>
      <w:r>
        <w:rPr>
          <w:i w:val="0"/>
          <w:color w:val="101010"/>
          <w:sz w:val="21"/>
        </w:rPr>
        <w:t>Palo Alto (PANW) — Reports tonight. Implied move ±9.2%. NGS billings are the key.</w:t>
      </w:r>
    </w:p>
    <w:p>
      <w:pPr>
        <w:spacing w:after="120"/>
      </w:pPr>
      <w:r>
        <w:rPr>
          <w:i w:val="0"/>
          <w:color w:val="101010"/>
          <w:sz w:val="21"/>
        </w:rPr>
        <w:t>HSBC (HSBC) — Down 4% in London after disappointing NIM print. Read-through to other global banks (Standard Chartered, Barclays) was modest but worth monitoring.</w:t>
      </w:r>
    </w:p>
    <w:p>
      <w:pPr>
        <w:spacing w:after="120"/>
      </w:pPr>
      <w:r>
        <w:rPr>
          <w:i w:val="0"/>
          <w:color w:val="101010"/>
          <w:sz w:val="21"/>
        </w:rPr>
        <w:t>Toyota (TM) / Honda (HMC) — Beneficiaries of weaker dollar / stronger yen overnight; both up 1–2% in ADR pre-market on the Japan GDP surprise.</w:t>
      </w:r>
    </w:p>
    <w:p>
      <w:pPr>
        <w:spacing w:before="360" w:after="120"/>
        <w:pBdr>
          <w:bottom w:val="single" w:sz="12" w:color="C9A227"/>
        </w:pBdr>
      </w:pPr>
      <w:r>
        <w:rPr>
          <w:rFonts w:ascii="Calibri" w:hAnsi="Calibri"/>
          <w:b/>
          <w:color w:val="0A1F44"/>
          <w:sz w:val="26"/>
        </w:rPr>
        <w:t>10. GLOBAL MACRO SNAPSHOT</w:t>
      </w:r>
    </w:p>
    <w:p>
      <w:pPr>
        <w:spacing w:after="120"/>
      </w:pPr>
      <w:r>
        <w:rPr>
          <w:i w:val="0"/>
          <w:color w:val="101010"/>
          <w:sz w:val="21"/>
        </w:rPr>
        <w:t>Europe: Stoxx 600 modestly higher led by autos and chemicals on the oil pullback; London lagging on HSBC's results. UK April CPI tomorrow at 7:00 a.m. ET — consensus 3.2% Y/Y. ECB's Lagarde speaks Thursday at the Brussels Forum.</w:t>
      </w:r>
    </w:p>
    <w:p>
      <w:pPr>
        <w:spacing w:after="120"/>
      </w:pPr>
      <w:r>
        <w:rPr>
          <w:i w:val="0"/>
          <w:color w:val="101010"/>
          <w:sz w:val="21"/>
        </w:rPr>
        <w:t>Asia: Japan, mainland China, and South Korea all closed for holidays overnight, thinning liquidity. Hong Kong's Hang Seng down 0.3% on tech weakness; the Australia ASX 200 fell 32 bps after the surprise RBA hike. Japan's Q1 GDP +2.1% annualized — strong upside surprise.</w:t>
      </w:r>
    </w:p>
    <w:p>
      <w:pPr>
        <w:spacing w:after="120"/>
      </w:pPr>
      <w:r>
        <w:rPr>
          <w:i w:val="0"/>
          <w:color w:val="101010"/>
          <w:sz w:val="21"/>
        </w:rPr>
        <w:t>Emerging markets: The dollar's overnight retreat is providing some breathing room for EM currencies — the Brazilian real, Mexican peso, and Indian rupee all up 30–50 bps versus the greenback. Turkey holds rates Thursday; consensus is for an unchanged 50% benchmark.</w:t>
      </w:r>
    </w:p>
    <w:p>
      <w:pPr>
        <w:spacing w:before="360" w:after="120"/>
        <w:pBdr>
          <w:bottom w:val="single" w:sz="12" w:color="C9A227"/>
        </w:pBdr>
      </w:pPr>
      <w:r>
        <w:rPr>
          <w:rFonts w:ascii="Calibri" w:hAnsi="Calibri"/>
          <w:b/>
          <w:color w:val="0A1F44"/>
          <w:sz w:val="26"/>
        </w:rPr>
        <w:t>11. WEEK AHEAD PREVIEW</w:t>
      </w:r>
    </w:p>
    <w:p>
      <w:pPr>
        <w:spacing w:after="120"/>
      </w:pPr>
      <w:r>
        <w:rPr>
          <w:i w:val="0"/>
          <w:color w:val="101010"/>
          <w:sz w:val="21"/>
        </w:rPr>
        <w:t>The setup into the back half of the week is now framed by two competing forces. On the dovish-for-equities side: oil falling, dollar softer, Hormuz tensions easing. On the hawkish-for-equities side: 30-year at 5.12%, FOMC minutes Thursday that could confirm internal hike pressure, and a Nvidia print that has to be perfect to extend rather than puncture the AI narrative.</w:t>
      </w:r>
    </w:p>
    <w:p>
      <w:pPr>
        <w:spacing w:after="120"/>
      </w:pPr>
      <w:r>
        <w:rPr>
          <w:i w:val="0"/>
          <w:color w:val="101010"/>
          <w:sz w:val="21"/>
        </w:rPr>
        <w:t>Three set-piece events to focus on: (1) Powell at 9:00 a.m. Wednesday — any departure from the April statement language moves the front end; (2) Nvidia tomorrow after close — Q2 guidance above $90B reignites the AI trade, below $87B triggers a de-rating; (3) FOMC minutes Thursday 2:00 p.m. — if the dissents read as deeper than the statement suggested, the long bond probably tests 5.25%.</w:t>
      </w:r>
    </w:p>
    <w:p>
      <w:pPr>
        <w:spacing w:before="360" w:after="120"/>
        <w:pBdr>
          <w:bottom w:val="single" w:sz="12" w:color="C9A227"/>
        </w:pBdr>
      </w:pPr>
      <w:r>
        <w:rPr>
          <w:rFonts w:ascii="Calibri" w:hAnsi="Calibri"/>
          <w:b/>
          <w:color w:val="0A1F44"/>
          <w:sz w:val="26"/>
        </w:rPr>
        <w:t>12. THE CLOSING THOUGHT</w:t>
      </w:r>
    </w:p>
    <w:p>
      <w:pPr>
        <w:spacing w:after="120"/>
      </w:pPr>
      <w:r>
        <w:rPr>
          <w:i/>
          <w:color w:val="0A1F44"/>
          <w:sz w:val="21"/>
        </w:rPr>
        <w:t>Six weeks of inflation panic and Middle East escalation have produced what is, in the end, still a fairly orderly market: the S&amp;P 500 is essentially flat on the year, the VIX is at 20, credit spreads are wide but not screaming. Yesterday gave us the first hint that the marginal trade may be turning: oil and bonds both blinked. The puzzle now is whether equities can rotate sustainably — defensives outperforming, but with a real bid coming back into the growth complex — or whether the 30-year above 5% simply caps any rally regardless of what oil does. We will have a much better answer to that question 36 hours from now, after Nvidia speaks and the FOMC reveals its hand. Trade it carefully.</w:t>
      </w:r>
    </w:p>
    <w:p>
      <w:pPr>
        <w:spacing w:after="120"/>
      </w:pPr>
      <w:r>
        <w:rPr>
          <w:i w:val="0"/>
          <w:color w:val="101010"/>
          <w:sz w:val="21"/>
        </w:rPr>
      </w:r>
    </w:p>
    <w:p>
      <w:pPr>
        <w:jc w:val="center"/>
      </w:pPr>
      <w:r>
        <w:rPr>
          <w:i/>
          <w:color w:val="555555"/>
          <w:sz w:val="16"/>
        </w:rPr>
        <w:t>— The Brookside Brief  •  Compiled 9:30 AM ET  •  Sources: WSJ, CNBC, Bloomberg, Reuters, Yahoo Finance, TradingEconomics, S&amp;P Global, BLS, U.S. Treasury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